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 niestacjonarne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Wybrane problemy doradztwa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Selected consulting problems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Gertruda Wieczorek</w:t>
              <w:br w:type="textWrapping"/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Gertruda Wieczorek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mgr Katarzyna Zaremba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kursu (cele kształcenia)</w:t>
      </w:r>
    </w:p>
    <w:tbl>
      <w:tblPr>
        <w:tblStyle w:val="Table4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Zapoznanie studentów z podstawowymi koncepcjami doradztwa zawodowego, znaczeniem pracy zawodowej w życiu człowieka i sytuacją/rolą człowieka na współczesnym rynku pracy oraz z wyznacznikami powodzenia zawodowego. Nabycie praktycznych umiejętności w zakresie projektowania działań doradczych w oparciu o podstawowe ujęcia teoretyczne.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 wstępne</w:t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Brak warunków wstępnych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Brak warunków wstępnych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Brak warunków wstępnych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Efekty kształcenia </w:t>
      </w:r>
    </w:p>
    <w:tbl>
      <w:tblPr>
        <w:tblStyle w:val="Table6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838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W01 - Student zna i rozumie wybrane teorie doradztwa zawodowego.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W02 - Student zna współczesne koncepcje doradztwa zawodowego: doradztwo kariery, life coaching.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W03 -  Student zna aksjologiczne konteksty prowadzonej działalności doradczej.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78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U01 - Potrafi wspierać proces doradczy z perspektywy różnych teorii.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U02 -  Efektywnie wykorzystuje w pracy doradczej różnorodne koncepcje, uwzględniając kontekst kulturowy, aksjologiczny i etyczny.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U03 -  Wspiera i stymuluje rozwój edukacyjno-zawodowy swój i klienta w kontekście życia.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K_U05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54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K01 - Wykazuje się empatią, otwartością i gotowością do udzielania pomocy w zakresie swoich kompetencji.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K02 -  Posiada gotowość do podjęcia inicjatywy, przywództwa w grupie oraz wzięcia odpowiedzialności za swoje decyzje.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metod prowadzenia zajęć</w:t>
      </w:r>
    </w:p>
    <w:tbl>
      <w:tblPr>
        <w:tblStyle w:val="Table10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Wykład, metody oglądowe i słowne – warsztatowe, aktywizujące a wśród nich metody sytuacyjne, dyskusji pogadanki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kształcenia</w:t>
      </w:r>
    </w:p>
    <w:tbl>
      <w:tblPr>
        <w:tblStyle w:val="Table11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Zaliczenie zwykłe na podstawie uzyskania pozytywnego wyniku z wykonania projektu grupowego. Oceniany jest poziom merytorycznej wiedzy, przygotowanie, forma oraz logiczny układ ( min. 5pkt, max.8pkt).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Aktywny udział w dyskusjach( min. 5 plusów). 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Brak</w:t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Treści merytoryczne (wykaz tematów)</w:t>
      </w:r>
    </w:p>
    <w:tbl>
      <w:tblPr>
        <w:tblStyle w:val="Table14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Wykład: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Doradztwo jako działalność praktyczna i przedmiot badań naukowych.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Definicje, cechy wspólne i różnicujące dziedziny doradztwa.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Kierunki badań nad poradnictwem.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Funkcje i formy organizacyjne doradztwa.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Interdyscyplinarny charakter doradztwa.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Elementy procesu doradczego.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Rodzaje doradztwa logistycznego ze względu na kryterium treści i kryterium rozwiązań organizacyjno-metodycznych.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Ćwiczenia: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doradztwa zawodowego w Polsce.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Podstawowe koncepcje doradztwa zawodowego – praktyczne zastosowanie do studium przypadku.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Poradnictwo indywidualne i grupowe.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etyczne w zakresie doradztwa zawodowego – etyka w pracy doradcy.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Rozmowa doradcza – elementy, etapy, skuteczna komunikacja, różnorodne podejścia teoretyczne.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Narzędzia przydatne w procesie doradczym – drama, gry dydaktyczne, ćwiczenia.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Znaczenie pracy zawodowej w życiu człowieka: idea uczenia się przez całe życie, kształcenie ustawiczne. Kariera zawodowa- konotacje terminu i jego funkcjonowanie w doradztwie zawodowym.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Wyznaczniki powodzenia zawodowego: praca a zainteresowania, preferencje, system wartości, błędy w wyborze zawodu, motywowanie pracowników, coaching kariery.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Sytuacja i rola człowieka na współczesnym rynku pracy.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instytucji doradztwa personalnego, zasady tworzenia sieci współpracy w ramach consultingu zawodowego.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Rola, zadania i kompetencje doradcy.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Prowadzenie warsztatu poradnictwa edukacyjnego dla wybranej grupy odbiorców.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podstawowej</w:t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Chirkowska-Smolak T., Hauziński A., Łaciak M. (2011) DROGI kariery : jak wspomagać rozwój zawodowy dzieci i młodzieży. Warszawa: Wydawnictwo Naukowe Scholar.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Cieślikowska D., Kownacka E., Olczak E., Paszkowska-Rogacz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A. (2006)DORADZTWO zawodowe a wyzwania międzykulturowe. Warszawa: Krajowy Ośrodek Wspierania Edukacji Zawodowej i Ustawicznej. </w:t>
              <w:br w:type="textWrapping"/>
              <w:t xml:space="preserve">Lelińska K.(2016). PLANOWANIE kariery a interaktywna sieć zawodów : scenariusze zajęć warsztatowych w pracy doradców zawodowych. Warszawa: Difin.</w:t>
              <w:br w:type="textWrapping"/>
              <w:t xml:space="preserve">Paszkowska-Rogacz  A. (2009) DORADZTWO zawodowe : wybrane metody badań. Warszawa : Centrum Doradztwa i Informacji Difin.</w:t>
              <w:br w:type="textWrapping"/>
              <w:t xml:space="preserve">Pfeiffer A.(red.), Barczak M. i in.(aut.) (2014) DORADZTWO edukacyjno-zawodowe : przykładowe rozwiązania. Warszawa : Krajowy Ośrodek Wspierania Edukacji Zawodowej i Ustawicznej.</w:t>
              <w:br w:type="textWrapping"/>
              <w:t xml:space="preserve">Pisula D. (2010) ABC doradcy zawodowego. Warszawa: Krajowy Ośrodek Wspierania Edukacji Zawodowej i Ustawicznej. </w:t>
              <w:br w:type="textWrapping"/>
              <w:t xml:space="preserve">Tarkowska M.(2006) Rozmowa doradcza – wspólne poszukiwanie rozwiązań, Warszawa: MPiPS.</w:t>
              <w:br w:type="textWrapping"/>
              <w:t xml:space="preserve">von Thun F. S.(2001). Sztuka rozmawiania. Część 1: Analiza zaburzeń. Kraków: WAM.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uzupełniającej</w:t>
      </w:r>
    </w:p>
    <w:tbl>
      <w:tblPr>
        <w:tblStyle w:val="Table16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Baraniak B., (red.) (2007) Współczesne problemy poradnictwa i edukacji zawodowej. Warszawa: IBE.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Baraniak B.(2008) Edukacja w przygotowaniu człowieka do pracy zawodowej. Warszawa: IBE.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von Thun F. S.(2001) Sztuka rozmawiania. Część 2-4. Kraków: WAM.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Witerska K.(2010) Drama. Techniki. Strategie. Scenariusze. Diffin.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tbl>
      <w:tblPr>
        <w:tblStyle w:val="Table17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Zwykłytekst">
    <w:name w:val="Zwykły tekst"/>
    <w:basedOn w:val="Normalny"/>
    <w:next w:val="Zwykłytekst"/>
    <w:autoRedefine w:val="0"/>
    <w:hidden w:val="0"/>
    <w:qFormat w:val="0"/>
    <w:pPr>
      <w:widowControl w:val="1"/>
      <w:suppressAutoHyphens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ematkomentarza1">
    <w:name w:val="Temat komentarza1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tytuł">
    <w:name w:val="Podtytuł"/>
    <w:basedOn w:val="Normalny"/>
    <w:next w:val="Normalny"/>
    <w:autoRedefine w:val="0"/>
    <w:hidden w:val="0"/>
    <w:qFormat w:val="0"/>
    <w:pPr>
      <w:widowControl w:val="0"/>
      <w:suppressAutoHyphens w:val="0"/>
      <w:autoSpaceDE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ptos Display" w:cs="Times New Roman" w:eastAsia="Times New Roman" w:hAnsi="Aptos Display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Aptos Display" w:cs="Times New Roman" w:eastAsia="Times New Roman" w:hAnsi="Aptos Display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widowControl w:val="1"/>
      <w:suppressAutoHyphens w:val="1"/>
      <w:autoSpaceDE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UrNKTDeEnHX/i6Phl19LxGScg==">CgMxLjA4AHIhMUdwcFNqdS0yeHRQN3FwMkl5dmdHMnlaQ3dOdTUtYWg5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2024-03-20T10:51:00Z</dcterms:created>
  <dc:creator>Katarzyna Zaremba</dc:creator>
</cp:coreProperties>
</file>