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center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(realizowanego w module obligatoryjnym)</w:t>
        <w:br w:type="textWrapping"/>
        <w:t xml:space="preserve">Pedagogika (I st., st. stacjonarne, semestr IV)</w:t>
        <w:br w:type="textWrapping"/>
        <w:t xml:space="preserve">do programu rozpoczynającego się w roku akademickim 2023/2024)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Strategie badań w edukacji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Research strategies in 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 hab. Jolanta Maćkowicz</w:t>
            </w:r>
          </w:p>
          <w:p w:rsidR="00000000" w:rsidDel="00000000" w:rsidP="00000000" w:rsidRDefault="00000000" w:rsidRPr="00000000" w14:paraId="0000000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Punktacja ECTS*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kursu (cele kształcenia)</w:t>
      </w:r>
    </w:p>
    <w:tbl>
      <w:tblPr>
        <w:tblStyle w:val="Table3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Dostarczenie studentom wiedzy o różnych strategiach badań w naukach o edukacji.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Kształtowanie u studentów umiejętności konstruowania schematów badań.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Zapoznanie studentów z podstawowymi metodami gromadzenia oraz analizy i interpretacji danych empirycznych ilościowych i jakościowych.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Warunki wstępne</w:t>
      </w:r>
    </w:p>
    <w:tbl>
      <w:tblPr>
        <w:tblStyle w:val="Table4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Brak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Kursy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Pojęcia i systemy pedagogiczne, Metody badań pedagogicznych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Efekty uczenia się</w:t>
      </w:r>
    </w:p>
    <w:tbl>
      <w:tblPr>
        <w:tblStyle w:val="Table5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868"/>
        <w:gridCol w:w="4946"/>
        <w:gridCol w:w="2320"/>
        <w:tblGridChange w:id="0">
          <w:tblGrid>
            <w:gridCol w:w="1868"/>
            <w:gridCol w:w="4946"/>
            <w:gridCol w:w="2320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dla specjalności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(określonych w karcie programu studiów dla modułu specjalnościowego)</w:t>
            </w:r>
          </w:p>
        </w:tc>
      </w:tr>
      <w:tr>
        <w:trPr>
          <w:cantSplit w:val="1"/>
          <w:trHeight w:val="549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W01: Dysponuje podstawową wiedzą z zakresu metod badań pedagogicznych 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K_U05, K_U04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dla specjalności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(określonych w karcie programu studiów dla modułu specjalność)</w:t>
            </w:r>
          </w:p>
        </w:tc>
      </w:tr>
      <w:tr>
        <w:trPr>
          <w:cantSplit w:val="1"/>
          <w:trHeight w:val="1276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U01: Potrafi zaprojektować i przeprowadzić metodologicznie poprawne badanie pedagogiczne, wykorzystując do tego stworzone przez siebie narzędzia badawcze, a także sformułować i przedstawić logiczne wnioski.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K_U05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K_U04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10"/>
        <w:gridCol w:w="4872"/>
        <w:gridCol w:w="2352"/>
        <w:tblGridChange w:id="0">
          <w:tblGrid>
            <w:gridCol w:w="1910"/>
            <w:gridCol w:w="4872"/>
            <w:gridCol w:w="2352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Odniesienie do efektów  dla specjalności (określonych w karcie programu studiów dla modułu specjalnościowego)</w:t>
            </w:r>
          </w:p>
        </w:tc>
      </w:tr>
      <w:tr>
        <w:trPr>
          <w:cantSplit w:val="1"/>
          <w:trHeight w:val="84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K01: Ma świadomość znaczenia zachowywania się w sposób etyczny i profesjonalny.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K02: Wykazuje się odpowiedzialnością i refleksyjnością w wyznaczaniu celów, planowaniu i realizowaniu działań pedagogicznych.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K_K02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K_K05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999999999998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57" w:before="57" w:lineRule="auto"/>
              <w:ind w:left="45" w:right="13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E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50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F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Analiza tekstu,dyskusja,  projektowanie i wykonanie badań edukacyjnych (wg strategii)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Formy sprawdzania efektów uczenia się</w:t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1.999999999998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01"/>
        <w:gridCol w:w="627"/>
        <w:gridCol w:w="627"/>
        <w:gridCol w:w="627"/>
        <w:gridCol w:w="628"/>
        <w:gridCol w:w="628"/>
        <w:gridCol w:w="628"/>
        <w:gridCol w:w="628"/>
        <w:gridCol w:w="628"/>
        <w:gridCol w:w="544"/>
        <w:gridCol w:w="712"/>
        <w:gridCol w:w="628"/>
        <w:gridCol w:w="628"/>
        <w:gridCol w:w="628"/>
        <w:tblGridChange w:id="0">
          <w:tblGrid>
            <w:gridCol w:w="901"/>
            <w:gridCol w:w="627"/>
            <w:gridCol w:w="627"/>
            <w:gridCol w:w="627"/>
            <w:gridCol w:w="628"/>
            <w:gridCol w:w="628"/>
            <w:gridCol w:w="628"/>
            <w:gridCol w:w="628"/>
            <w:gridCol w:w="628"/>
            <w:gridCol w:w="544"/>
            <w:gridCol w:w="712"/>
            <w:gridCol w:w="628"/>
            <w:gridCol w:w="628"/>
            <w:gridCol w:w="628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E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F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0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1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2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3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4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5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6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7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8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9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A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B">
            <w:pPr>
              <w:ind w:left="113" w:right="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5">
            <w:pPr>
              <w:spacing w:after="57" w:before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Kryteria oceny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57" w:before="5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Zaprojektowanie i wykonanie w grupach dwóch badań:ilościowego (sondaż) oraz jakościowego (wywiady narracyjne), wg kryteriów podanych przez prowadzącego. Zrealizowane badania są prezentowane w formie raportu zawierającego (1) problemy badawcze, (2) opis metody (uczestnicy badania, opis procedury i wykorzystane narzędzia, operacjonalizację zmiennych ujętych w hipotezach/problemach badawczych), (3) uzyskane wyniki, (4) dyskusję wyników. Grupy mogą zdobyć max. 24 pkt. – po 12 pkt. dla każdego badania. W ramach oceny punktowane są: (1) hipotezy/problemy badawcze (max. 3 pkt.), (2) opis metody (max. 3 pkt.), (3) sposób prezentacji wyników (max. 3 pkt.) i (4) dyskusja wyników (max. 3 pkt.). Kryterium pozytywnego zaliczenia badań wynosi 51% pkt.  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14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19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8">
            <w:pPr>
              <w:spacing w:after="5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Uwagi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57" w:before="5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Treści merytoryczne (wykaz tematów)</w:t>
      </w:r>
    </w:p>
    <w:tbl>
      <w:tblPr>
        <w:tblStyle w:val="Table13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Rodzaje badań społecznych;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Projektowanie badań społecznych - badania terenowe i laboratoryjne, obserwacyjne i kwestionariuszowe, empiryczne i hermeneutyczne;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Ilościowa i jakościowa analiza danych empirycznych.</w:t>
            </w:r>
          </w:p>
        </w:tc>
      </w:tr>
    </w:tbl>
    <w:p w:rsidR="00000000" w:rsidDel="00000000" w:rsidP="00000000" w:rsidRDefault="00000000" w:rsidRPr="00000000" w14:paraId="000000D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podstawowej</w:t>
      </w:r>
    </w:p>
    <w:tbl>
      <w:tblPr>
        <w:tblStyle w:val="Table14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5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Pilch T, Bauman T (2008) Zasady badan pedagogicznych. Strategie iloscuowe i jakościowe</w:t>
              <w:br w:type="textWrapping"/>
              <w:t xml:space="preserve">2. Festinger, L. i in. (2012).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Gdy proroctwo zawodzi. Koniec świata, który nie nastąpił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Kraków: WAM.</w:t>
              <w:br w:type="textWrapping"/>
              <w:t xml:space="preserve">3. Frankfort-Nachmias, Ch. i Nachmias. D. (2001).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Metody badawcze w naukach społecznych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Poznań: Wyd. Zysk i S-ka.</w:t>
              <w:br w:type="textWrapping"/>
              <w:t xml:space="preserve">4. Stemplewska-Żakowicz, K. Krejtz, K. (2009). (red.).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Wywiad psychologiczny. T 1. Wywiad jako podstępowanie badawcze.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Warszawa: Pracownia Testów Psychologicznych.</w:t>
              <w:br w:type="textWrapping"/>
              <w:t xml:space="preserve">5. Suchowierska, M., Ostaszewski, P. i Bąbel, P. (2012).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Terapia behawioralna dzieci z autyzmem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Gdańsk: GWP.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 Kvale S. (2012) Prowadzenie wywiadów, PWN</w:t>
            </w:r>
          </w:p>
        </w:tc>
      </w:tr>
    </w:tbl>
    <w:p w:rsidR="00000000" w:rsidDel="00000000" w:rsidP="00000000" w:rsidRDefault="00000000" w:rsidRPr="00000000" w14:paraId="000000E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literatury uzupełniającej</w:t>
      </w:r>
    </w:p>
    <w:tbl>
      <w:tblPr>
        <w:tblStyle w:val="Table15"/>
        <w:tblW w:w="9134.0" w:type="dxa"/>
        <w:jc w:val="left"/>
        <w:tblInd w:w="-7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134"/>
        <w:tblGridChange w:id="0">
          <w:tblGrid>
            <w:gridCol w:w="9134"/>
          </w:tblGrid>
        </w:tblGridChange>
      </w:tblGrid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Caldini, R. (2013).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Wywieranie wpływu na ludzi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Gdańsk: GWP.</w:t>
              <w:br w:type="textWrapping"/>
              <w:t xml:space="preserve">2. Eysenck, H. i Eysenck, M. (2003).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Podpatrywanie umysłu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Gdańsk: GWP.</w:t>
            </w:r>
          </w:p>
        </w:tc>
      </w:tr>
    </w:tbl>
    <w:p w:rsidR="00000000" w:rsidDel="00000000" w:rsidP="00000000" w:rsidRDefault="00000000" w:rsidRPr="00000000" w14:paraId="000000E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Bilans godzinowy zgodny z CNPS (Całkowity Nakład Pracy Studenta)</w:t>
      </w:r>
    </w:p>
    <w:tbl>
      <w:tblPr>
        <w:tblStyle w:val="Table16"/>
        <w:tblW w:w="9062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640"/>
        <w:gridCol w:w="5382"/>
        <w:gridCol w:w="1040"/>
        <w:tblGridChange w:id="0">
          <w:tblGrid>
            <w:gridCol w:w="2640"/>
            <w:gridCol w:w="5382"/>
            <w:gridCol w:w="1040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7365d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Przygotowanie do egzaminu</w:t>
            </w:r>
          </w:p>
        </w:tc>
        <w:tc>
          <w:tcPr>
            <w:tcBorders>
              <w:bottom w:color="17365d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FD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00">
            <w:pPr>
              <w:ind w:left="3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Liczba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D62BD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1" w:customStyle="1">
    <w:name w:val="Tekst dymka1"/>
    <w:basedOn w:val="Normalny"/>
    <w:rsid w:val="00DD62BD"/>
    <w:rPr>
      <w:rFonts w:ascii="Tahoma" w:cs="Tahoma" w:hAnsi="Tahoma"/>
      <w:sz w:val="16"/>
      <w:szCs w:val="16"/>
    </w:rPr>
  </w:style>
  <w:style w:type="paragraph" w:styleId="Normalny1" w:customStyle="1">
    <w:name w:val="Normalny1"/>
    <w:basedOn w:val="Normalny"/>
    <w:rsid w:val="00DD62BD"/>
    <w:rPr>
      <w:sz w:val="20"/>
      <w:szCs w:val="20"/>
      <w:lang w:eastAsia="ar-SA"/>
    </w:rPr>
  </w:style>
  <w:style w:type="paragraph" w:styleId="Domylnie" w:customStyle="1">
    <w:name w:val="Domyślnie"/>
    <w:autoRedefine w:val="1"/>
    <w:rsid w:val="00DD62BD"/>
    <w:pPr>
      <w:widowControl w:val="0"/>
      <w:suppressAutoHyphens w:val="1"/>
      <w:spacing w:after="0" w:line="240" w:lineRule="auto"/>
    </w:pPr>
    <w:rPr>
      <w:rFonts w:ascii="Times New Roman" w:cs="Arial Unicode MS" w:eastAsia="Arial Unicode MS" w:hAnsi="Times New Roman"/>
      <w:color w:val="000000"/>
      <w:kern w:val="0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 w:val="1"/>
    <w:rsid w:val="007C1F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5/jrbUu8V2XsoG+YalUdz9wIA==">CgMxLjAyCGguZ2pkZ3hzOAByITFIVDU4TjZJTlI5RFdwRFJCOWxCYmdTbnJoNXRhY1VPcQ==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2024-03-21T21:04:00Z</dcterms:created>
  <dc:creator>Joanna Wnęk-Gozdek</dc:creator>
</cp:coreProperties>
</file>