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144.0" w:type="dxa"/>
        <w:tblLayout w:type="fixed"/>
        <w:tblLook w:val="0000"/>
      </w:tblPr>
      <w:tblGrid>
        <w:gridCol w:w="1985"/>
        <w:gridCol w:w="3969"/>
        <w:gridCol w:w="3691"/>
        <w:tblGridChange w:id="0">
          <w:tblGrid>
            <w:gridCol w:w="1985"/>
            <w:gridCol w:w="3969"/>
            <w:gridCol w:w="3691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Nazwa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Pedagogika porównawcza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Nazwa w j. ang.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Comparative education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Koordynator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Dyrekcja Instytutu Pedagogiki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Zespół dydaktyczny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pracownicy IPe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Punktacja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Opis kursu (cele kształcenia)</w:t>
      </w:r>
      <w:r w:rsidDel="00000000" w:rsidR="00000000" w:rsidRPr="00000000">
        <w:rPr>
          <w:rtl w:val="0"/>
        </w:rPr>
      </w:r>
    </w:p>
    <w:tbl>
      <w:tblPr>
        <w:tblStyle w:val="Table2"/>
        <w:tblW w:w="9650.0" w:type="dxa"/>
        <w:jc w:val="left"/>
        <w:tblInd w:w="-147.0" w:type="dxa"/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86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Celem kursu jest zaznajomienie studentów z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wybranymi aspektami funkcjonowania systemów oświaty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oraz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wiodącymi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teori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badań komparatystycznych z uwzględnieniem metodologii badań. Studenci uczą się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dentyfikowania związków pedagogiki porównawczej z historią wychowania, filozofią i socjologią oraz analizują tendencje rozwojowe w edukacji we współczesnym świecie w oparciu o znajomość specyfiki funkcjonowania wybra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nych instytucji i placówek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oświat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owych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Warunki wstępne</w:t>
      </w: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-144.0" w:type="dxa"/>
        <w:tblLayout w:type="fixed"/>
        <w:tblLook w:val="0000"/>
      </w:tblPr>
      <w:tblGrid>
        <w:gridCol w:w="1941"/>
        <w:gridCol w:w="7704"/>
        <w:tblGridChange w:id="0">
          <w:tblGrid>
            <w:gridCol w:w="1941"/>
            <w:gridCol w:w="7704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Nie wymagane 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Nie wymagane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Kursy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Nie wymagane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Efekty uczenia się</w:t>
      </w:r>
      <w:r w:rsidDel="00000000" w:rsidR="00000000" w:rsidRPr="00000000">
        <w:rPr>
          <w:rtl w:val="0"/>
        </w:rPr>
      </w:r>
    </w:p>
    <w:tbl>
      <w:tblPr>
        <w:tblStyle w:val="Table4"/>
        <w:tblW w:w="9650.0" w:type="dxa"/>
        <w:jc w:val="left"/>
        <w:tblInd w:w="-147.0" w:type="dxa"/>
        <w:tblLayout w:type="fixed"/>
        <w:tblLook w:val="0000"/>
      </w:tblPr>
      <w:tblGrid>
        <w:gridCol w:w="1979"/>
        <w:gridCol w:w="6"/>
        <w:gridCol w:w="5245"/>
        <w:gridCol w:w="45"/>
        <w:gridCol w:w="2375"/>
        <w:tblGridChange w:id="0">
          <w:tblGrid>
            <w:gridCol w:w="1979"/>
            <w:gridCol w:w="6"/>
            <w:gridCol w:w="5245"/>
            <w:gridCol w:w="45"/>
            <w:gridCol w:w="2375"/>
          </w:tblGrid>
        </w:tblGridChange>
      </w:tblGrid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8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W01: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Student ma uporządkowaną wiedzę o współczesnych kierunkach rozwoju pedagogiki, w tym pedagogiki specjalnej, jej nurtach i systemach pedagogicznych;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W02: Posiada pogłębioną i uporządkowaną wiedzę o różnych strukturach i funkcjach systemu edukacji, środowiskach wychowawczych, ich specyfice oraz procesach w nich zachodzących w wybranych systemach  edukacyjnyc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K_W03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K_W10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2" w:hRule="atLeast"/>
          <w:tblHeader w:val="0"/>
        </w:trPr>
        <w:tc>
          <w:tcPr>
            <w:gridSpan w:val="2"/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4" w:hRule="atLeast"/>
          <w:tblHeader w:val="0"/>
        </w:trPr>
        <w:tc>
          <w:tcPr>
            <w:gridSpan w:val="2"/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U01: Student obserwuje, wyszukuje i przetwarza informacje na temat zjawisk społecznych rozmaitej natury przy użyciu różnych źródeł; prezentuje własne pomysły, wątpliwości i sugestie, popierając je argumentacją w kontekście wybranych perspektyw teoretycznych, poglądów różnych autorów, kierując się przy tym zasadami etyki;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U02: Samodzielnie zdobywa wiedzę i rozwija swoje profesjonalne umiejętności, korzystając z różnych źródeł (w języku rodzimym i obcym) i nowoczesnych technologii (ICT).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K_U06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K_U10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6" w:hRule="atLeast"/>
          <w:tblHeader w:val="0"/>
        </w:trPr>
        <w:tc>
          <w:tcPr>
            <w:gridSpan w:val="2"/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5" w:hRule="atLeast"/>
          <w:tblHeader w:val="0"/>
        </w:trPr>
        <w:tc>
          <w:tcPr>
            <w:gridSpan w:val="2"/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K01: Student ma pozytywne nastawienie do nabywania wiedzy z zakresu pedagogiki oraz innych dziedzin oraz do budowania warsztatu pracy pedagoga;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K02: Jest wrażliwy na problemy edukacyjne, prawidłowo identyfikuje i rozstrzyga problemy, odnoszące się do opisu i wyjaśniania różnych aspektów wychowania i kształcenia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w tym kształcenia dorosłych,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 uwzględnieniem specyfiki środowiska lokalnego i regionalnego.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K_K02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K_K05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3.999999999998" w:type="dxa"/>
        <w:jc w:val="left"/>
        <w:tblInd w:w="-144.0" w:type="dxa"/>
        <w:tblLayout w:type="fixed"/>
        <w:tblLook w:val="000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  <w:tblGridChange w:id="0">
          <w:tblGrid>
            <w:gridCol w:w="1610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9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Organizacja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Ćwiczenia w grupach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Opis metod prowadzenia zajęć</w:t>
      </w:r>
      <w:r w:rsidDel="00000000" w:rsidR="00000000" w:rsidRPr="00000000">
        <w:rPr>
          <w:rtl w:val="0"/>
        </w:rPr>
      </w:r>
    </w:p>
    <w:tbl>
      <w:tblPr>
        <w:tblStyle w:val="Table6"/>
        <w:tblW w:w="9632.0" w:type="dxa"/>
        <w:jc w:val="left"/>
        <w:tblInd w:w="-147.0" w:type="dxa"/>
        <w:tblLayout w:type="fixed"/>
        <w:tblLook w:val="00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Wykład: metoda podająca z elementami problemowymi;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Ćwiczenia: praca grupowa, dyskusja, burza mózgów.</w:t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Formy sprawdzania efektów uczenia się</w:t>
      </w:r>
      <w:r w:rsidDel="00000000" w:rsidR="00000000" w:rsidRPr="00000000">
        <w:rPr>
          <w:rtl w:val="0"/>
        </w:rPr>
      </w:r>
    </w:p>
    <w:tbl>
      <w:tblPr>
        <w:tblStyle w:val="Table7"/>
        <w:tblW w:w="9631.000000000002" w:type="dxa"/>
        <w:jc w:val="left"/>
        <w:tblInd w:w="-113.0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  <w:tblGridChange w:id="0">
          <w:tblGrid>
            <w:gridCol w:w="962"/>
            <w:gridCol w:w="666"/>
            <w:gridCol w:w="666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76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c0c0c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 –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Ćwiczenia w szkole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Praca laboratoryjna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Projekt indywidualny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Projekt grupowy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Udział w dyskusji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Praca pisemna (esej)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Egzamin ustny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Egzamin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Ind w:w="-144.0" w:type="dxa"/>
        <w:tblLayout w:type="fixed"/>
        <w:tblLook w:val="0000"/>
      </w:tblPr>
      <w:tblGrid>
        <w:gridCol w:w="1941"/>
        <w:gridCol w:w="7704"/>
        <w:tblGridChange w:id="0">
          <w:tblGrid>
            <w:gridCol w:w="1941"/>
            <w:gridCol w:w="77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Kryteria oceny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7" w:before="57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Zaliczenie kursu przedmiotu na podstawie obecności (40%), pozytywnej oceny pracy grupowej (40%) i aktywności podczas zajęć (20%).</w:t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Ind w:w="-144.0" w:type="dxa"/>
        <w:tblLayout w:type="fixed"/>
        <w:tblLook w:val="0000"/>
      </w:tblPr>
      <w:tblGrid>
        <w:gridCol w:w="1941"/>
        <w:gridCol w:w="7704"/>
        <w:tblGridChange w:id="0">
          <w:tblGrid>
            <w:gridCol w:w="1941"/>
            <w:gridCol w:w="7704"/>
          </w:tblGrid>
        </w:tblGridChange>
      </w:tblGrid>
      <w:tr>
        <w:trPr>
          <w:cantSplit w:val="0"/>
          <w:trHeight w:val="64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Uwagi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Studia II stopnia, niestacjonarne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Treści merytoryczne (wykaz tematów)</w:t>
      </w:r>
      <w:r w:rsidDel="00000000" w:rsidR="00000000" w:rsidRPr="00000000">
        <w:rPr>
          <w:rtl w:val="0"/>
        </w:rPr>
      </w:r>
    </w:p>
    <w:tbl>
      <w:tblPr>
        <w:tblStyle w:val="Table10"/>
        <w:tblW w:w="9632.0" w:type="dxa"/>
        <w:jc w:val="left"/>
        <w:tblInd w:w="-147.0" w:type="dxa"/>
        <w:tblLayout w:type="fixed"/>
        <w:tblLook w:val="00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Zagadnienia terminologiczne, rozwój dyscypliny i jej przedstawiciele;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Metody badawcze i przedmiot pedagogiki porównawczej;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Specyfika badań porównawczych;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Zarządzanie systemami kształcenia: administ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racja i finansowanie oświaty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Typologia współczesnych systemów kształcenia;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Modele i strategie reform oświatowych;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Charakterystyka współczesnego systemu oświaty w Polsce;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Kształcenie obowiązkowe w Unii Europejskiej;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Placówki oświatowo-wychowawcze jako element struktury systemu oświaty;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Praca z uczniem ze specjalnymi potrzebami edukacyjnymi w wybranych systemach oświaty;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Edukacja zróżnicowana ze względu na płeć w Stanach Zjednoczonych i wybranych krajach europejskich;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Edukacja dzieci imigrantów oraz mniejszości narodowych - wiodące tendencje; 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Edukacja obywatelska w wybranych krajach;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Kształcenie i doskonalenie zawodowe nauczycieli w wybranych systemach oświaty;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Edukacja dorosłych w wybranych systemach;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Wykaz literatury podstawowej</w:t>
      </w:r>
      <w:r w:rsidDel="00000000" w:rsidR="00000000" w:rsidRPr="00000000">
        <w:rPr>
          <w:rtl w:val="0"/>
        </w:rPr>
      </w:r>
    </w:p>
    <w:tbl>
      <w:tblPr>
        <w:tblStyle w:val="Table11"/>
        <w:tblW w:w="9632.0" w:type="dxa"/>
        <w:jc w:val="left"/>
        <w:tblInd w:w="-147.0" w:type="dxa"/>
        <w:tblLayout w:type="fixed"/>
        <w:tblLook w:val="00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7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Komisja Europejska,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Edukacja i szkolenia dorosłych w Europie: ścieżki prowadzące do umiejętności i kwalifikacji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Warszawa 2022;</w:t>
            </w:r>
          </w:p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Komisja Europejska,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Kluczowe dane o edukacji w Europie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Warszawa 2020;</w:t>
            </w:r>
          </w:p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Komisja Europejska,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Nauczyciele w Europie: Kariera, rozwój zawodowy i ogólne samopoczucie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Warszawa 2022;</w:t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Komisja Europejska,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Zapewnianie równych szans w edukacji szkolnej w Europie: Struktury, polityka i osiągnięcia uczniów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Warszawa 2021;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Průcha J.,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Pedagogika porównawcza,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Wyd. PWN, Warszawa 2006;</w:t>
            </w:r>
          </w:p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Pachociński R.,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Pedagogika porównawcza: podręcznik akademicki,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Wyd. "Żak", Warszawa 2007;</w:t>
            </w:r>
          </w:p>
          <w:p w:rsidR="00000000" w:rsidDel="00000000" w:rsidP="00000000" w:rsidRDefault="00000000" w:rsidRPr="00000000" w14:paraId="0000012E">
            <w:pPr>
              <w:widowControl w:val="0"/>
              <w:tabs>
                <w:tab w:val="left" w:leader="none" w:pos="709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Rabczuk W.,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Polityka edukacyjna Unii Europejskiej wobec imigrantów oraz mniejszości narodowych i etnicznych,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Warszawa 2002;</w:t>
            </w:r>
          </w:p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Wykaz literatury uzupełniającej</w:t>
      </w:r>
      <w:r w:rsidDel="00000000" w:rsidR="00000000" w:rsidRPr="00000000">
        <w:rPr>
          <w:rtl w:val="0"/>
        </w:rPr>
      </w:r>
    </w:p>
    <w:tbl>
      <w:tblPr>
        <w:tblStyle w:val="Table12"/>
        <w:tblW w:w="9632.0" w:type="dxa"/>
        <w:jc w:val="left"/>
        <w:tblInd w:w="-147.0" w:type="dxa"/>
        <w:tblLayout w:type="fixed"/>
        <w:tblLook w:val="00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Komisja Europejska,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Systemy edukacji w Europie,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Luksemburg 2018,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http://eurydice.org.pl/systemy_edukacji_w_Europie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Cylkowska-Nowak M.,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Społeczne funkcje szkolnictwa w Japonii i Stanach Zjednoczonych. Studium z pedagogiki porównawczej,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Poznań-Toruń 2000;</w:t>
            </w:r>
          </w:p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Leppert R. (red.),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Edukacja w świecie współczesnym. Wybór tekstów z pedagogiki porównawczej wraz z przewodnikiem bibliograficznym i internetowym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 Kraków 2000;</w:t>
            </w:r>
          </w:p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</w:tabs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Nowakowska-Siuta R.,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Pedagogika porównawcza. Problemy, stan badań i perspektywy rozwoju,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Oficyna Wydawnicza Impuls, Kraków 2014;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Świętochowska U. (red.),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Systemy edukacyjne cywilizacji przełomu XX i XXI wieku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 Toruń 2001;</w:t>
            </w:r>
          </w:p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434c57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Włoch A.,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Pedagogika porównawcza Wiktora Rabczuka (1931–2020): od badań oświaty w krajach afrykańskich do edukacji europejskiej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“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Acta Universitatis Nicolai Copernici. Pedagogika”, XLV/1/2023, https://apcz.umk.pl/AUNC_PED/article/view/47279/37053 ;</w:t>
            </w:r>
            <w:r w:rsidDel="00000000" w:rsidR="00000000" w:rsidRPr="00000000">
              <w:rPr>
                <w:rFonts w:ascii="Arial" w:cs="Arial" w:eastAsia="Arial" w:hAnsi="Arial"/>
                <w:color w:val="434c57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Włoch A.,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Kształcenie dzieci zdolnych w europejskich systemach edukacyjnych: fenomen tutoringu domowego w Anglii,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„Studia Paedagogica Ignatiana” 2017, nr 3, s. 63-83. </w:t>
            </w:r>
          </w:p>
          <w:p w:rsidR="00000000" w:rsidDel="00000000" w:rsidP="00000000" w:rsidRDefault="00000000" w:rsidRPr="00000000" w14:paraId="00000139">
            <w:pPr>
              <w:widowControl w:val="0"/>
              <w:tabs>
                <w:tab w:val="left" w:leader="none" w:pos="709"/>
              </w:tabs>
              <w:jc w:val="both"/>
              <w:rPr>
                <w:color w:val="0000ff"/>
                <w:u w:val="singl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http://dx.doi.org/10.12775/SPI.2017.3.004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Włoch A.,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Early childhood education and care in Europe as investing in social and cultural capital – comparative analysis,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„Rocznik Komisji Nauk Pedagogicznych” 2016, t. 69, s. 92-104, ISSN: 0079-3418,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https://journals.pan.pl/dlibra/publication/117408/edition/102084/content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Wojniak J.,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Szkoła-polityka-prawo. George Zygmunt Fijałkowski-Bereday i jego wizja edukacji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(rozdz. III: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Metoda porównawcza w badaniach nad edukacją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), Kraków 2019;</w:t>
            </w:r>
          </w:p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Wojniak J.,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Komparatystyka edukacyjna w perspektywie filozoficznej: Sergiusz Hessen (1887–1950) i jego podejście do badań porównawczych w pedagogice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“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Acta Universitatis Nicolai Copernici. Pedagogika”, XLII/2/2021,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https://apcz.umk.pl/AUNC_PED/article/view/35960/31495</w:t>
              </w:r>
            </w:hyperlink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Tahoma" w:cs="Tahoma" w:eastAsia="Tahoma" w:hAnsi="Tahoma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Bilans godzinowy zgodny z CNPS (Całkowity Nakład Pracy Studenta)</w:t>
      </w:r>
      <w:r w:rsidDel="00000000" w:rsidR="00000000" w:rsidRPr="00000000">
        <w:rPr>
          <w:rtl w:val="0"/>
        </w:rPr>
      </w:r>
    </w:p>
    <w:tbl>
      <w:tblPr>
        <w:tblStyle w:val="Table13"/>
        <w:tblW w:w="9592.0" w:type="dxa"/>
        <w:jc w:val="left"/>
        <w:tblInd w:w="-113.0" w:type="dxa"/>
        <w:tblLayout w:type="fixed"/>
        <w:tblLook w:val="0000"/>
      </w:tblPr>
      <w:tblGrid>
        <w:gridCol w:w="2766"/>
        <w:gridCol w:w="5750"/>
        <w:gridCol w:w="1076"/>
        <w:tblGridChange w:id="0">
          <w:tblGrid>
            <w:gridCol w:w="2766"/>
            <w:gridCol w:w="5750"/>
            <w:gridCol w:w="1076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liczba godzin w kontakcie z prowadzącymi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Konwersatorium (ćwiczenia, laboratorium itd.)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Pozostałe godziny kontaktu studenta z prowadzącym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liczba godzin pracy studenta bez kontaktu z prowadzącymi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Lektura w ramach przygotowania do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Przygotowanie krótkiej pracy pisemnej lub referatu po zapoznaniu się z niezbędną literaturą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Przygotowanie projektu lub prezentacji na podany temat (praca w grupie)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Przygotowanie do egzaminu/zaliczenia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Ogółem bilans czasu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Liczba punktów ECTS w zależności od przyjętego przelicznika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1134" w:top="1276" w:left="1134" w:right="1134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D"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Arial" w:cs="Arial" w:eastAsia="Arial" w:hAnsi="Arial"/>
        <w:color w:val="8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cze">
    <w:name w:val="Hyperlink"/>
    <w:basedOn w:val="Domylnaczcionkaakapitu"/>
    <w:uiPriority w:val="99"/>
    <w:semiHidden w:val="1"/>
    <w:unhideWhenUsed w:val="1"/>
    <w:rsid w:val="0091604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apcz.umk.pl/AUNC_PED/article/view/35960/31495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urnals.pan.pl/dlibra/publication/117408/edition/102084/content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urydice.org.pl/systemy_edukacji_w_Europie" TargetMode="External"/><Relationship Id="rId8" Type="http://schemas.openxmlformats.org/officeDocument/2006/relationships/hyperlink" Target="http://dx.doi.org/10.12775/SPI.2017.3.00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ZQVlCoHCziYjEyrf208ZOvKYA==">CgMxLjAyCGguZ2pkZ3hzOAByITFHdUgxek5WQzJZTkxvRGhPV0xNZGFiOFF1YUo0MXRtcg==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2024-01-29T18:35:00Z</dcterms:created>
  <dc:creator>oem</dc:creator>
</cp:coreProperties>
</file>