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B0" w:rsidRDefault="008C2388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KARTA KURSU</w:t>
      </w:r>
    </w:p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691"/>
      </w:tblGrid>
      <w:tr w:rsidR="009A62B0">
        <w:trPr>
          <w:trHeight w:val="395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Pedagogika porównawcza </w:t>
            </w:r>
          </w:p>
        </w:tc>
      </w:tr>
      <w:tr w:rsidR="009A62B0">
        <w:trPr>
          <w:trHeight w:val="379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 w j. ang.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Comparative education</w:t>
            </w:r>
          </w:p>
        </w:tc>
      </w:tr>
      <w:tr w:rsidR="009A62B0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Koordynator</w:t>
            </w:r>
          </w:p>
        </w:tc>
        <w:tc>
          <w:tcPr>
            <w:tcW w:w="3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Dyrekcja Instytutu Pedagogiki </w:t>
            </w:r>
          </w:p>
        </w:tc>
        <w:tc>
          <w:tcPr>
            <w:tcW w:w="36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Zespół dydaktyczny</w:t>
            </w:r>
          </w:p>
        </w:tc>
      </w:tr>
      <w:tr w:rsidR="009A62B0">
        <w:trPr>
          <w:cantSplit/>
          <w:trHeight w:val="367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pracownicy IPe</w:t>
            </w:r>
          </w:p>
        </w:tc>
      </w:tr>
      <w:tr w:rsidR="009A62B0">
        <w:trPr>
          <w:cantSplit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Punktacja ECTS</w:t>
            </w:r>
          </w:p>
        </w:tc>
        <w:tc>
          <w:tcPr>
            <w:tcW w:w="39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69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kursu (cele kształcenia)</w:t>
      </w:r>
    </w:p>
    <w:tbl>
      <w:tblPr>
        <w:tblStyle w:val="a0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9A62B0">
        <w:trPr>
          <w:trHeight w:val="86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Celem kursu jest zaznajomienie studentów z </w:t>
            </w:r>
            <w:r>
              <w:rPr>
                <w:rFonts w:ascii="Arial" w:eastAsia="Arial" w:hAnsi="Arial" w:cs="Arial"/>
              </w:rPr>
              <w:t xml:space="preserve">wybranymi aspektami funkcjonowania systemów oświaty </w:t>
            </w:r>
            <w:r>
              <w:rPr>
                <w:rFonts w:ascii="Arial" w:eastAsia="Arial" w:hAnsi="Arial" w:cs="Arial"/>
                <w:color w:val="000000"/>
              </w:rPr>
              <w:t xml:space="preserve">oraz </w:t>
            </w:r>
            <w:r>
              <w:rPr>
                <w:rFonts w:ascii="Arial" w:eastAsia="Arial" w:hAnsi="Arial" w:cs="Arial"/>
              </w:rPr>
              <w:t>wiodącymi</w:t>
            </w:r>
            <w:r>
              <w:rPr>
                <w:rFonts w:ascii="Arial" w:eastAsia="Arial" w:hAnsi="Arial" w:cs="Arial"/>
                <w:color w:val="000000"/>
              </w:rPr>
              <w:t xml:space="preserve"> teori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color w:val="000000"/>
              </w:rPr>
              <w:t xml:space="preserve"> badań komparatystycznych z uwzględnieniem metodologii badań. Studenci uczą się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</w:rPr>
              <w:t>dentyfikowania związków pedagogiki porównawczej z histori</w:t>
            </w:r>
            <w:r>
              <w:rPr>
                <w:rFonts w:ascii="Arial" w:eastAsia="Arial" w:hAnsi="Arial" w:cs="Arial"/>
                <w:color w:val="000000"/>
              </w:rPr>
              <w:t>ą wychowania, filozofią i socjologią oraz analizują tendencje rozwojowe w edukacji we współczesnym świecie w oparciu o znajomość specyfiki funkcjonowania wybra</w:t>
            </w:r>
            <w:r>
              <w:rPr>
                <w:rFonts w:ascii="Arial" w:eastAsia="Arial" w:hAnsi="Arial" w:cs="Arial"/>
              </w:rPr>
              <w:t>nych instytucji i placówek</w:t>
            </w:r>
            <w:r>
              <w:rPr>
                <w:rFonts w:ascii="Arial" w:eastAsia="Arial" w:hAnsi="Arial" w:cs="Arial"/>
                <w:color w:val="000000"/>
              </w:rPr>
              <w:t xml:space="preserve"> oświat</w:t>
            </w:r>
            <w:r>
              <w:rPr>
                <w:rFonts w:ascii="Arial" w:eastAsia="Arial" w:hAnsi="Arial" w:cs="Arial"/>
              </w:rPr>
              <w:t>owych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Warunki wstępne</w:t>
      </w:r>
    </w:p>
    <w:tbl>
      <w:tblPr>
        <w:tblStyle w:val="a1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9A62B0">
        <w:trPr>
          <w:trHeight w:val="352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wymagane </w:t>
            </w:r>
          </w:p>
        </w:tc>
      </w:tr>
      <w:tr w:rsidR="009A62B0">
        <w:trPr>
          <w:trHeight w:val="159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  <w:tr w:rsidR="009A62B0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Kursy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Efekty uczenia się</w:t>
      </w:r>
    </w:p>
    <w:tbl>
      <w:tblPr>
        <w:tblStyle w:val="a2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79"/>
        <w:gridCol w:w="6"/>
        <w:gridCol w:w="5245"/>
        <w:gridCol w:w="45"/>
        <w:gridCol w:w="2375"/>
      </w:tblGrid>
      <w:tr w:rsidR="009A62B0">
        <w:trPr>
          <w:cantSplit/>
          <w:trHeight w:val="60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9A62B0">
        <w:trPr>
          <w:cantSplit/>
          <w:trHeight w:val="84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W01: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Student ma uporządkowaną wiedzę o współczesnych kierunkach rozwoju pedagogiki, w tym pedagogiki specjalnej, jej nurtach i systemach pedagogicznych;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W02: Posiada pogłębioną i uporządkowaną wiedzę o różnych strukturach i funkcjach systemu edukacji, środowis</w:t>
            </w:r>
            <w:r>
              <w:rPr>
                <w:rFonts w:ascii="Arial" w:eastAsia="Arial" w:hAnsi="Arial" w:cs="Arial"/>
                <w:color w:val="000000"/>
              </w:rPr>
              <w:t>kach wychowawczych, ich specyfice oraz procesach w nich zachodzących w wybranych systemach  edukacyjnyc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K_W03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K_W10</w:t>
            </w:r>
          </w:p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62B0">
        <w:trPr>
          <w:cantSplit/>
          <w:trHeight w:val="632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9A62B0">
        <w:trPr>
          <w:cantSplit/>
          <w:trHeight w:val="764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U01: Student obserwuje, wyszukuje i przetwarza informacje na temat zjawisk społecznych rozmaitej natury przy użyciu różnych źródeł; prezentuje własne pomysły, wątpliwości i sugestie, popierając je argumentacją w kontekście wybranych perspektyw teoretycznyc</w:t>
            </w:r>
            <w:r>
              <w:rPr>
                <w:rFonts w:ascii="Arial" w:eastAsia="Arial" w:hAnsi="Arial" w:cs="Arial"/>
                <w:color w:val="000000"/>
              </w:rPr>
              <w:t>h, poglądów różnych autorów, kierując się przy tym zasadami etyki;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U02: Samodzielnie zdobywa wiedzę i rozwija swoje profesjonalne umiejętności, korzystając z różnych źródeł (w języku rodzimym i obcym) i nowoczesnych technologii (ICT).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K_U06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K_U10</w:t>
            </w:r>
          </w:p>
        </w:tc>
      </w:tr>
      <w:tr w:rsidR="009A62B0">
        <w:trPr>
          <w:cantSplit/>
          <w:trHeight w:val="636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9A62B0">
        <w:trPr>
          <w:cantSplit/>
          <w:trHeight w:val="695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K01: Student ma pozytywne nastawienie do nabywania wiedzy z zakresu pedagogiki oraz innych dziedzin oraz do budowania warsztatu pracy pedagoga;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K02: Jest wrażliwy na problemy edukacyjne, prawidłowo identyfikuje i rozstrzyga problemy, odnoszące się do opisu i wyjaśniania różnych aspektów wychowania i kształcenia</w:t>
            </w:r>
            <w:r>
              <w:rPr>
                <w:rFonts w:ascii="Arial" w:eastAsia="Arial" w:hAnsi="Arial" w:cs="Arial"/>
              </w:rPr>
              <w:t xml:space="preserve">, w tym kształcenia dorosłych, </w:t>
            </w:r>
            <w:r>
              <w:rPr>
                <w:rFonts w:ascii="Arial" w:eastAsia="Arial" w:hAnsi="Arial" w:cs="Arial"/>
                <w:color w:val="000000"/>
              </w:rPr>
              <w:t>z uwzględnieniem specyfiki środowiska lokalnego i regiona</w:t>
            </w:r>
            <w:r>
              <w:rPr>
                <w:rFonts w:ascii="Arial" w:eastAsia="Arial" w:hAnsi="Arial" w:cs="Arial"/>
                <w:color w:val="000000"/>
              </w:rPr>
              <w:t>lnego.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K_K02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K_K05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9644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9A62B0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Organizacja</w:t>
            </w:r>
          </w:p>
        </w:tc>
      </w:tr>
      <w:tr w:rsidR="009A62B0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grupach</w:t>
            </w:r>
          </w:p>
        </w:tc>
      </w:tr>
      <w:tr w:rsidR="009A62B0">
        <w:trPr>
          <w:cantSplit/>
          <w:trHeight w:val="477"/>
        </w:trPr>
        <w:tc>
          <w:tcPr>
            <w:tcW w:w="16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</w:t>
            </w:r>
          </w:p>
        </w:tc>
        <w:tc>
          <w:tcPr>
            <w:tcW w:w="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2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trHeight w:val="499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trHeight w:val="462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metod prowadzenia zajęć</w:t>
      </w:r>
    </w:p>
    <w:tbl>
      <w:tblPr>
        <w:tblStyle w:val="a4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9A62B0">
        <w:trPr>
          <w:trHeight w:val="62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Wykład: metoda podająca z elementami problemowymi;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Ćwiczenia: praca grupowa, dyskusja, burza mózgów.</w:t>
            </w: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Formy sprawdzania efektów uczenia się</w:t>
      </w:r>
    </w:p>
    <w:tbl>
      <w:tblPr>
        <w:tblStyle w:val="a5"/>
        <w:tblW w:w="96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9A62B0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</w:tr>
      <w:tr w:rsidR="009A62B0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9A62B0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Kryteria oceny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Zaliczenie kursu przedmiotu na podstawie obecności (40%), pozytywnej oceny pracy grupowej (40%) i aktywności podczas zajęć (20%).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9A62B0">
        <w:trPr>
          <w:trHeight w:val="646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Uwagi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Studia II stopnia, niestacjonarne</w:t>
            </w: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Treści merytoryczne (wykaz tematów)</w:t>
      </w:r>
    </w:p>
    <w:tbl>
      <w:tblPr>
        <w:tblStyle w:val="a8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9A62B0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Zagadnienia terminologiczne, rozwój dyscypliny i jej przedstawiciele;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Metody badawcze i przedmiot pedagogiki porównawczej;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Zarządzanie systemami kształcenia: administ</w:t>
            </w:r>
            <w:r>
              <w:rPr>
                <w:rFonts w:ascii="Arial" w:eastAsia="Arial" w:hAnsi="Arial" w:cs="Arial"/>
              </w:rPr>
              <w:t>racja i finansowanie oświaty</w:t>
            </w:r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Typologia współczesnych systemów kształcenia;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Kształcenie obowiązkowe w Unii Europejskiej;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Placówki oświatowo-wychowawcze jako element struktury systemu oświaty;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Praca z uczniem ze specjalnymi potrzebami edukacyjnymi w wybranych systemach oświaty;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Edukacja dzieci imigrantów oraz mniejszości narodowych</w:t>
            </w:r>
            <w:r>
              <w:rPr>
                <w:rFonts w:ascii="Arial" w:eastAsia="Arial" w:hAnsi="Arial" w:cs="Arial"/>
              </w:rPr>
              <w:t xml:space="preserve"> - wiodące tendencje; 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Kształcenie i doskonalenie zawodowe nauczycieli w wybranych systemach oświaty;</w:t>
            </w:r>
          </w:p>
          <w:p w:rsidR="009A62B0" w:rsidRDefault="008C2388">
            <w:pPr>
              <w:numPr>
                <w:ilvl w:val="0"/>
                <w:numId w:val="2"/>
              </w:numPr>
              <w:jc w:val="both"/>
            </w:pPr>
            <w:r>
              <w:rPr>
                <w:rFonts w:ascii="Arial" w:eastAsia="Arial" w:hAnsi="Arial" w:cs="Arial"/>
              </w:rPr>
              <w:t>Edukacja dorosłych w wybranych systemach;</w:t>
            </w:r>
          </w:p>
          <w:p w:rsidR="009A62B0" w:rsidRDefault="009A62B0">
            <w:pPr>
              <w:ind w:left="720"/>
              <w:jc w:val="both"/>
              <w:rPr>
                <w:rFonts w:ascii="Arial" w:eastAsia="Arial" w:hAnsi="Arial" w:cs="Arial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podstawowej</w:t>
      </w:r>
    </w:p>
    <w:tbl>
      <w:tblPr>
        <w:tblStyle w:val="a9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9A62B0">
        <w:trPr>
          <w:trHeight w:val="744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Komisja Europejska, </w:t>
            </w:r>
            <w:r>
              <w:rPr>
                <w:rFonts w:ascii="Arial" w:eastAsia="Arial" w:hAnsi="Arial" w:cs="Arial"/>
                <w:i/>
              </w:rPr>
              <w:t>Edukacja i szkolenia dorosłych w Europie: ścieżki prowadzące do umiejętności i kwalifikacji</w:t>
            </w:r>
            <w:r>
              <w:rPr>
                <w:rFonts w:ascii="Arial" w:eastAsia="Arial" w:hAnsi="Arial" w:cs="Arial"/>
              </w:rPr>
              <w:t>, Warszawa 2022;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Komisja Europejska, </w:t>
            </w:r>
            <w:r>
              <w:rPr>
                <w:rFonts w:ascii="Arial" w:eastAsia="Arial" w:hAnsi="Arial" w:cs="Arial"/>
                <w:i/>
              </w:rPr>
              <w:t>Kluczowe dane o edukacji w Europie</w:t>
            </w:r>
            <w:r>
              <w:rPr>
                <w:rFonts w:ascii="Arial" w:eastAsia="Arial" w:hAnsi="Arial" w:cs="Arial"/>
              </w:rPr>
              <w:t>, Warszawa 2020;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Komisja Europejska,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Nauczyciele w Europie: Kariera, rozwój zawodowy i ogólne </w:t>
            </w:r>
            <w:r>
              <w:rPr>
                <w:rFonts w:ascii="Arial" w:eastAsia="Arial" w:hAnsi="Arial" w:cs="Arial"/>
                <w:i/>
              </w:rPr>
              <w:t>samopoczucie</w:t>
            </w:r>
            <w:r>
              <w:rPr>
                <w:rFonts w:ascii="Arial" w:eastAsia="Arial" w:hAnsi="Arial" w:cs="Arial"/>
              </w:rPr>
              <w:t>, Warszawa 2022;</w:t>
            </w:r>
          </w:p>
          <w:p w:rsidR="009A62B0" w:rsidRDefault="008C2388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Komisja Europejska, </w:t>
            </w:r>
            <w:r>
              <w:rPr>
                <w:rFonts w:ascii="Arial" w:eastAsia="Arial" w:hAnsi="Arial" w:cs="Arial"/>
                <w:i/>
              </w:rPr>
              <w:t>Zapewnianie równych szans w edukacji szkolnej w Europie: Struktury, polityka i osiągnięcia uczniów</w:t>
            </w:r>
            <w:r>
              <w:rPr>
                <w:rFonts w:ascii="Arial" w:eastAsia="Arial" w:hAnsi="Arial" w:cs="Arial"/>
              </w:rPr>
              <w:t>, Warszawa 2021;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Průcha J.,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Pedagogika porównawcza, </w:t>
            </w:r>
            <w:r>
              <w:rPr>
                <w:rFonts w:ascii="Arial" w:eastAsia="Arial" w:hAnsi="Arial" w:cs="Arial"/>
                <w:color w:val="000000"/>
              </w:rPr>
              <w:t>Wyd. PWN, Warszawa 2006;</w:t>
            </w:r>
          </w:p>
          <w:p w:rsidR="009A62B0" w:rsidRDefault="008C2388">
            <w:pPr>
              <w:widowControl w:val="0"/>
              <w:tabs>
                <w:tab w:val="left" w:pos="70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Rabczuk W., </w:t>
            </w:r>
            <w:r>
              <w:rPr>
                <w:rFonts w:ascii="Arial" w:eastAsia="Arial" w:hAnsi="Arial" w:cs="Arial"/>
                <w:i/>
              </w:rPr>
              <w:t xml:space="preserve">Polityka edukacyjna Unii Europejskiej wobec imigrantów oraz mniejszości narodowych i etnicznych, </w:t>
            </w:r>
            <w:r>
              <w:rPr>
                <w:rFonts w:ascii="Arial" w:eastAsia="Arial" w:hAnsi="Arial" w:cs="Arial"/>
              </w:rPr>
              <w:t>Warszawa 2002;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uzupełniającej</w:t>
      </w:r>
    </w:p>
    <w:tbl>
      <w:tblPr>
        <w:tblStyle w:val="aa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9A62B0">
        <w:trPr>
          <w:trHeight w:val="695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Cylkowska-Nowak M.,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Społeczne funkcje szkolnictwa w Japonii i Stanach Zjednoczonych. Studium z pedagogiki porównawczej, </w:t>
            </w:r>
            <w:r>
              <w:rPr>
                <w:rFonts w:ascii="Arial" w:eastAsia="Arial" w:hAnsi="Arial" w:cs="Arial"/>
                <w:color w:val="000000"/>
              </w:rPr>
              <w:t>Poznań-Toruń 2000;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Nowakowska-Siuta R., </w:t>
            </w:r>
            <w:r>
              <w:rPr>
                <w:rFonts w:ascii="Arial" w:eastAsia="Arial" w:hAnsi="Arial" w:cs="Arial"/>
                <w:i/>
              </w:rPr>
              <w:t xml:space="preserve">Pedagogika porównawcza. Problemy, stan badań i perspektywy rozwoju, </w:t>
            </w:r>
            <w:r>
              <w:rPr>
                <w:rFonts w:ascii="Arial" w:eastAsia="Arial" w:hAnsi="Arial" w:cs="Arial"/>
              </w:rPr>
              <w:t>Oficyna Wydawnicza Impuls, Kraków 2014;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rFonts w:ascii="Arial" w:eastAsia="Arial" w:hAnsi="Arial" w:cs="Arial"/>
                <w:color w:val="434C57"/>
              </w:rPr>
            </w:pPr>
            <w:r>
              <w:rPr>
                <w:rFonts w:ascii="Arial" w:eastAsia="Arial" w:hAnsi="Arial" w:cs="Arial"/>
              </w:rPr>
              <w:t xml:space="preserve">Włoch A., </w:t>
            </w:r>
            <w:r>
              <w:rPr>
                <w:rFonts w:ascii="Arial" w:eastAsia="Arial" w:hAnsi="Arial" w:cs="Arial"/>
                <w:i/>
              </w:rPr>
              <w:t>Pedagogika porównawcza Wiktora Rabczuka (1931–2020): od badań oświaty w krajach afrykańskich do edukacji europejskiej</w:t>
            </w:r>
            <w:r>
              <w:rPr>
                <w:rFonts w:ascii="Arial" w:eastAsia="Arial" w:hAnsi="Arial" w:cs="Arial"/>
              </w:rPr>
              <w:t>, “</w:t>
            </w:r>
            <w:r>
              <w:rPr>
                <w:rFonts w:ascii="Arial" w:eastAsia="Arial" w:hAnsi="Arial" w:cs="Arial"/>
                <w:highlight w:val="white"/>
              </w:rPr>
              <w:t xml:space="preserve">Acta Universitatis Nicolai Copernici. Pedagogika”, XLV/1/2023, </w:t>
            </w:r>
            <w:hyperlink r:id="rId7">
              <w:r>
                <w:rPr>
                  <w:rFonts w:ascii="Arial" w:eastAsia="Arial" w:hAnsi="Arial" w:cs="Arial"/>
                  <w:color w:val="1155CC"/>
                  <w:highlight w:val="white"/>
                  <w:u w:val="single"/>
                </w:rPr>
                <w:t>https://apcz.umk.pl/AUNC_PED/article/view/47279/37053</w:t>
              </w:r>
            </w:hyperlink>
            <w:r>
              <w:rPr>
                <w:rFonts w:ascii="Arial" w:eastAsia="Arial" w:hAnsi="Arial" w:cs="Arial"/>
                <w:highlight w:val="white"/>
              </w:rPr>
              <w:t xml:space="preserve"> ;</w:t>
            </w:r>
            <w:r>
              <w:rPr>
                <w:rFonts w:ascii="Arial" w:eastAsia="Arial" w:hAnsi="Arial" w:cs="Arial"/>
                <w:color w:val="434C57"/>
                <w:highlight w:val="white"/>
              </w:rPr>
              <w:t xml:space="preserve"> </w:t>
            </w:r>
          </w:p>
          <w:p w:rsidR="00704B75" w:rsidRDefault="00704B75" w:rsidP="00704B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Włoch A., </w:t>
            </w:r>
            <w:r>
              <w:rPr>
                <w:rFonts w:ascii="Arial" w:hAnsi="Arial" w:cs="Arial"/>
                <w:i/>
                <w:iCs/>
              </w:rPr>
              <w:t xml:space="preserve">Kształcenie dzieci zdolnych w europejskich systemach edukacyjnych: fenomen tutoringu domowego w Anglii, </w:t>
            </w:r>
            <w:r>
              <w:rPr>
                <w:rFonts w:ascii="Arial" w:hAnsi="Arial" w:cs="Arial"/>
              </w:rPr>
              <w:t xml:space="preserve">„Studia Paedagogica Ignatiana” 2017, nr 3, s. 63-83. </w:t>
            </w:r>
          </w:p>
          <w:p w:rsidR="00704B75" w:rsidRDefault="00704B75" w:rsidP="00704B75">
            <w:pPr>
              <w:widowControl w:val="0"/>
              <w:tabs>
                <w:tab w:val="left" w:pos="709"/>
              </w:tabs>
              <w:jc w:val="both"/>
              <w:rPr>
                <w:rStyle w:val="Hipercze"/>
              </w:rPr>
            </w:pPr>
            <w:hyperlink r:id="rId8" w:history="1">
              <w:r>
                <w:rPr>
                  <w:rStyle w:val="Hipercze"/>
                  <w:rFonts w:ascii="Arial" w:hAnsi="Arial" w:cs="Arial"/>
                </w:rPr>
                <w:t>http://dx.doi.org/10.12775/SPI.2017.3.004</w:t>
              </w:r>
            </w:hyperlink>
          </w:p>
          <w:p w:rsidR="00704B75" w:rsidRDefault="00704B75" w:rsidP="00704B75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Włoch A., 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Early childhood education and care in Europe as investing in social and cultural capital – comparative analysis, </w:t>
            </w:r>
            <w:r>
              <w:rPr>
                <w:rFonts w:ascii="Arial" w:hAnsi="Arial" w:cs="Arial"/>
                <w:lang w:val="en-US"/>
              </w:rPr>
              <w:t>„Rocznik Komisji Nauk Pedagogicznych” 2016, t. 69, s. 92-104, ISSN: 0079-3418,</w:t>
            </w:r>
          </w:p>
          <w:p w:rsidR="00704B75" w:rsidRDefault="00704B75" w:rsidP="00704B75">
            <w:pPr>
              <w:jc w:val="both"/>
              <w:rPr>
                <w:rFonts w:ascii="Arial" w:hAnsi="Arial" w:cs="Arial"/>
                <w:lang w:val="en-US"/>
              </w:rPr>
            </w:pPr>
            <w:hyperlink r:id="rId9" w:history="1">
              <w:r>
                <w:rPr>
                  <w:rStyle w:val="Hipercze"/>
                  <w:rFonts w:ascii="Arial" w:hAnsi="Arial" w:cs="Arial"/>
                  <w:lang w:val="en-US"/>
                </w:rPr>
                <w:t>https://journals.pan.pl/dlibra/publication/117408/edition/102084/content</w:t>
              </w:r>
            </w:hyperlink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Wojniak J., </w:t>
            </w:r>
            <w:r>
              <w:rPr>
                <w:rFonts w:ascii="Arial" w:eastAsia="Arial" w:hAnsi="Arial" w:cs="Arial"/>
                <w:i/>
              </w:rPr>
              <w:t xml:space="preserve">Szkoła-polityka-prawo. George Zygmunt Fijałkowski-Bereday i jego wizja edukacji </w:t>
            </w:r>
            <w:r>
              <w:rPr>
                <w:rFonts w:ascii="Arial" w:eastAsia="Arial" w:hAnsi="Arial" w:cs="Arial"/>
              </w:rPr>
              <w:t xml:space="preserve">(rozdz. III: </w:t>
            </w:r>
            <w:r>
              <w:rPr>
                <w:rFonts w:ascii="Arial" w:eastAsia="Arial" w:hAnsi="Arial" w:cs="Arial"/>
                <w:i/>
              </w:rPr>
              <w:t>Metoda porównawcza w badaniach nad edukacją</w:t>
            </w:r>
            <w:r>
              <w:rPr>
                <w:rFonts w:ascii="Arial" w:eastAsia="Arial" w:hAnsi="Arial" w:cs="Arial"/>
              </w:rPr>
              <w:t>), Kraków 2019;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Wojniak J., </w:t>
            </w:r>
            <w:r>
              <w:rPr>
                <w:rFonts w:ascii="Arial" w:eastAsia="Arial" w:hAnsi="Arial" w:cs="Arial"/>
                <w:i/>
              </w:rPr>
              <w:t>Komparatystyka edukacyjna w perspektywie filozoficznej: Sergiusz Hessen (1887–1950) i jego podejście do badań porównawczych w pedagogice</w:t>
            </w:r>
            <w:r>
              <w:rPr>
                <w:rFonts w:ascii="Arial" w:eastAsia="Arial" w:hAnsi="Arial" w:cs="Arial"/>
              </w:rPr>
              <w:t>, “</w:t>
            </w:r>
            <w:r>
              <w:rPr>
                <w:rFonts w:ascii="Arial" w:eastAsia="Arial" w:hAnsi="Arial" w:cs="Arial"/>
                <w:highlight w:val="white"/>
              </w:rPr>
              <w:t xml:space="preserve">Acta Universitatis Nicolai Copernici. Pedagogika”, XLII/2/2021, </w:t>
            </w:r>
            <w:hyperlink r:id="rId10">
              <w:r>
                <w:rPr>
                  <w:rFonts w:ascii="Arial" w:eastAsia="Arial" w:hAnsi="Arial" w:cs="Arial"/>
                  <w:color w:val="1155CC"/>
                  <w:highlight w:val="white"/>
                  <w:u w:val="single"/>
                </w:rPr>
                <w:t>https://apcz.umk.pl/AUNC_PED/article/view/35960/31495</w:t>
              </w:r>
            </w:hyperlink>
            <w:r>
              <w:rPr>
                <w:rFonts w:ascii="Arial" w:eastAsia="Arial" w:hAnsi="Arial" w:cs="Arial"/>
                <w:highlight w:val="white"/>
              </w:rPr>
              <w:t xml:space="preserve"> ;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Bilans godzinowy zgodny z CNPS (Całkowity Nakład Pracy Studenta)</w:t>
      </w:r>
    </w:p>
    <w:tbl>
      <w:tblPr>
        <w:tblStyle w:val="ab"/>
        <w:tblW w:w="959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9A62B0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A62B0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A62B0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A62B0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9A62B0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9A62B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45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88" w:rsidRDefault="008C2388">
      <w:r>
        <w:separator/>
      </w:r>
    </w:p>
  </w:endnote>
  <w:endnote w:type="continuationSeparator" w:id="0">
    <w:p w:rsidR="008C2388" w:rsidRDefault="008C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B0" w:rsidRDefault="008C238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704B75">
      <w:rPr>
        <w:color w:val="000000"/>
        <w:sz w:val="24"/>
        <w:szCs w:val="24"/>
      </w:rPr>
      <w:fldChar w:fldCharType="separate"/>
    </w:r>
    <w:r w:rsidR="00704B7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9A62B0" w:rsidRDefault="009A62B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B0" w:rsidRDefault="009A62B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88" w:rsidRDefault="008C2388">
      <w:r>
        <w:separator/>
      </w:r>
    </w:p>
  </w:footnote>
  <w:footnote w:type="continuationSeparator" w:id="0">
    <w:p w:rsidR="008C2388" w:rsidRDefault="008C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B0" w:rsidRDefault="009A62B0">
    <w:pPr>
      <w:keepNext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B0" w:rsidRDefault="009A62B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067"/>
    <w:multiLevelType w:val="multilevel"/>
    <w:tmpl w:val="F76C754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4D28E0"/>
    <w:multiLevelType w:val="multilevel"/>
    <w:tmpl w:val="A28684C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0"/>
    <w:rsid w:val="00704B75"/>
    <w:rsid w:val="008C2388"/>
    <w:rsid w:val="009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B29D-8058-4284-ABC4-C4E838BA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04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2775/SPI.2017.3.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pcz.umk.pl/AUNC_PED/article/view/47279/3705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cz.umk.pl/AUNC_PED/article/view/35960/31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pan.pl/dlibra/publication/117408/edition/102084/conte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Włoch</cp:lastModifiedBy>
  <cp:revision>2</cp:revision>
  <dcterms:created xsi:type="dcterms:W3CDTF">2024-01-29T18:34:00Z</dcterms:created>
  <dcterms:modified xsi:type="dcterms:W3CDTF">2024-01-29T18:34:00Z</dcterms:modified>
</cp:coreProperties>
</file>