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(realizowanego w module obligatoryjnym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03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Nauki o Rodzinie (II st., st. stacjonarne, semestr I)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programu rozpoczynającego się w roku akademickim 2022/2023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22.00000000000003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Ochrona własności intelektualnej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 Protection of Intellectual Property Rights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95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3969"/>
        <w:gridCol w:w="3686"/>
        <w:tblGridChange w:id="0">
          <w:tblGrid>
            <w:gridCol w:w="1985"/>
            <w:gridCol w:w="3969"/>
            <w:gridCol w:w="368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dr hab. Justyna Wojniak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Zespół dydaktyczny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Opis kursu (cele kształcenia)</w:t>
      </w:r>
    </w:p>
    <w:tbl>
      <w:tblPr>
        <w:tblStyle w:val="Table3"/>
        <w:tblW w:w="9640.0" w:type="dxa"/>
        <w:jc w:val="left"/>
        <w:tblInd w:w="-180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Celem kursu jest zapoznanie studentów z podstawowymi pojęciami z zakresu prawa własności intelektualnej.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Podczas kursu studentowi prezentowane są regulacje prawne dotyczące przedmiotowego zagadnienia zarówno na poziomie międzynarodowym, jak i krajowym, przybliżona jest także historyczna ewolucja instytucji ochrony własności intelektualnej. Student nabywa wiedzę w zakresie identyfikowania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przedmiotu ochrony tej własności oraz umiejętność wskazania podmiotów dysponujących prawami w tym obszarze. Ponadto, w trakcie zajęć studenci poznają mechanizmy umożliwiające efektywne korzystanie z prawa własności intelektualnej, a także przejawy jego naruszeń. Przyswajają także wiedzę na temat instrumenty ochrony prawnej, z jakich można korzystać w sytuacji naruszenia praw własności intelektualne. Kurs ma także na celu uświadomienie studentom znaczenia własności intelektualnej i jej ochrony w życiu codziennym, szczególnie w warunkach, jakie stwarzają nowe technologie informacyjno-komunikacyjne.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Warunki wstępne</w:t>
      </w:r>
    </w:p>
    <w:tbl>
      <w:tblPr>
        <w:tblStyle w:val="Table4"/>
        <w:tblW w:w="9640.0" w:type="dxa"/>
        <w:jc w:val="left"/>
        <w:tblInd w:w="-195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Nie wymagana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Nie wymagane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Nie wymagane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Efekty uczenia się</w:t>
      </w:r>
    </w:p>
    <w:tbl>
      <w:tblPr>
        <w:tblStyle w:val="Table5"/>
        <w:tblW w:w="9640.0" w:type="dxa"/>
        <w:jc w:val="left"/>
        <w:tblInd w:w="-180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9"/>
        <w:gridCol w:w="6"/>
        <w:gridCol w:w="5245"/>
        <w:gridCol w:w="45"/>
        <w:gridCol w:w="2365"/>
        <w:tblGridChange w:id="0">
          <w:tblGrid>
            <w:gridCol w:w="1979"/>
            <w:gridCol w:w="6"/>
            <w:gridCol w:w="5245"/>
            <w:gridCol w:w="45"/>
            <w:gridCol w:w="2365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Wiedza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Odniesienie do efektów kierunkowych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W01 Student definiuje podstawowe pojęcia: państwo, prawo, system prawa, źródła prawa powszechnie obowiązującego w Polsce;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W02 Student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zna podstawowe pojęcia z zakresu własności intelektualnej, prawa autorskiego i prawa własności przemysłowej; dysponuje wiedzą na temat organów krajowych i międzynarodowych działających na rzecz ochrony własności intelektualnej;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 Student ma wiedzę na temat zasad i norm dotyczących korzystania z własności intelektualnej.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K_W11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Efekt uczenia się dla kursu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Odniesienie do efektów kierunkowych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2"/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 Student potrafi odszukać w akcie prawnym konkretne przepisy dotyczące wybranych aspektów ochrony prawa własności intelektualnej;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86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U02 Student dokonuje interpretacji przedmiotowych regulacji prawnych;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U03 Student potrafi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rozpoznać niezgodne z prawem przypadki korzystania z własności intelektualnej.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Efekt uczenia się dla kursu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Odniesienie do efektów kierunkowych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K01 Student ma przekonanie o sensie, wartości i potrzebie podejmowania działań mających na celu ochronę własności intelektualnej;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K02 Student 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świadomość odpowiedzialności cywilnej za naruszenia prawa własności intelektualnej;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K03  Student dostrzega wagę ochrony własności intelektualnej we własnej aktywności profesjonalnej i ściśle przestrzega zasad jej ochrony podczas realizacji obowiązków wynikających z toku studiów.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0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Organizacja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Ćwiczenia w grupach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Opis metod prowadzenia zajęć</w:t>
      </w:r>
    </w:p>
    <w:tbl>
      <w:tblPr>
        <w:tblStyle w:val="Table7"/>
        <w:tblW w:w="9622.0" w:type="dxa"/>
        <w:jc w:val="left"/>
        <w:tblInd w:w="-180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E-learning</w:t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Formy sprawdzania efektów uczenia się</w:t>
      </w:r>
    </w:p>
    <w:tbl>
      <w:tblPr>
        <w:tblStyle w:val="Table8"/>
        <w:tblW w:w="9621.000000000002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-222.00000000000003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Kryteria oceny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Zaliczenie kursu przedmiotu na podstawie udziału w zajęciach (50%) i pozytywnej oceny pracy pisemnej (50%).</w:t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40.0" w:type="dxa"/>
        <w:jc w:val="left"/>
        <w:tblInd w:w="-222.00000000000003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Uwagi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Treści merytoryczne</w:t>
      </w:r>
    </w:p>
    <w:tbl>
      <w:tblPr>
        <w:tblStyle w:val="Table11"/>
        <w:tblW w:w="9622.0" w:type="dxa"/>
        <w:jc w:val="left"/>
        <w:tblInd w:w="-180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Wprowadzenie: państwo, prawo, system prawa, źródła prawa powszechnie obowiązującego. Prawna ochrona własności intelektualnej jako specyficzny przedmiot regulacji;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Standardy ochrony prawa własności intelektualnej na gruncie prawa europejskiego i międzynarodowego;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Geneza, pojęcie i źródła prawa autorskiego, zakres przedmiotowy, przesłanki ochrony;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Prawo autorskie – zakres podmiotowy; autorskie prawa osobiste i autorskie prawa majątkowe;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Domena publiczna; dozwolony użytek prywatny; dozwolony użytek publiczny;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Odpowiedzialność za naruszenia prawa własności intelektualnej – sankcje cywilne i sankcje karne;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Przeniesienie praw i licencja;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Pola eksploatacji i ich rodzaje;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Wolna licencja, open source, open content; licencje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 Commons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Wolne Dobra Kultury i Ruch Wolnej Kultury;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Geneza, pojęcie i źródła praw własności przemysłowej;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Znaczenie i ochrona patentów;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Wzór użytkowy, znak towarowy, znak przemysłowy - procedura uzyskania ochrony prawnej i jej zakres;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Naruszenie praw własności przemysłowej;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Nieuczciwa konkurencja.</w:t>
            </w:r>
          </w:p>
        </w:tc>
      </w:tr>
    </w:tbl>
    <w:p w:rsidR="00000000" w:rsidDel="00000000" w:rsidP="00000000" w:rsidRDefault="00000000" w:rsidRPr="00000000" w14:paraId="000001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Wykaz literatury podstawowej</w:t>
      </w:r>
    </w:p>
    <w:tbl>
      <w:tblPr>
        <w:tblStyle w:val="Table12"/>
        <w:tblW w:w="9622.0" w:type="dxa"/>
        <w:jc w:val="left"/>
        <w:tblInd w:w="-180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Ustawa z dn. 4 lutego 1994 r.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prawie autorskim i prawach pokrewnych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Dz. U. z 1994 r., Nr 24, poz. 83 z późn. zm.; </w:t>
            </w:r>
          </w:p>
          <w:p w:rsidR="00000000" w:rsidDel="00000000" w:rsidP="00000000" w:rsidRDefault="00000000" w:rsidRPr="00000000" w14:paraId="000001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Biernat M.,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Krótki kurs własności intelektualnej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Warszawa 2014;</w:t>
            </w:r>
          </w:p>
          <w:p w:rsidR="00000000" w:rsidDel="00000000" w:rsidP="00000000" w:rsidRDefault="00000000" w:rsidRPr="00000000" w14:paraId="0000016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Michniewicz G.,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Ochrona własności intelektualnej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Warszawa 2016.</w:t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Wykaz literatury uzupełniającej</w:t>
      </w:r>
    </w:p>
    <w:tbl>
      <w:tblPr>
        <w:tblStyle w:val="Table13"/>
        <w:tblW w:w="9622.0" w:type="dxa"/>
        <w:jc w:val="left"/>
        <w:tblInd w:w="-180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Ustawa z dn. 30 czerwca 2000 r. 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Prawo własności przemysłowej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Dz. U. z 2003 r., Nr 119, poz. 117 z późn. zm.;</w:t>
            </w:r>
          </w:p>
          <w:p w:rsidR="00000000" w:rsidDel="00000000" w:rsidP="00000000" w:rsidRDefault="00000000" w:rsidRPr="00000000" w14:paraId="0000016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Ustawa z dn. 16 kwietnia 1993 r.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zwalczaniu nieuczciwej konkurencji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Dz. U. z 2003 r., Nr 153, poz. 1503 z późn. zm.;</w:t>
            </w:r>
          </w:p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Ustawa z dn. 27 lipca 2001 r.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ochronie baz danych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Dz. U. z 2001 r., nr 128, poz. 1402 z późn. zm.;</w:t>
            </w:r>
          </w:p>
          <w:p w:rsidR="00000000" w:rsidDel="00000000" w:rsidP="00000000" w:rsidRDefault="00000000" w:rsidRPr="00000000" w14:paraId="0000016D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Domańska-Baer A., Suchoń A. (red.),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Ochrona własności intelektualnej. Wybrane zagadnienia prawne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Poznań 2013;</w:t>
            </w:r>
          </w:p>
          <w:p w:rsidR="00000000" w:rsidDel="00000000" w:rsidP="00000000" w:rsidRDefault="00000000" w:rsidRPr="00000000" w14:paraId="0000016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Stec P. (red.),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Ochrona własności intelektualnej. Zarys wykładu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Bydgoszcz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Bilans godzinowy zgodny z CNPS (Całkowity Nakład Pracy Studenta)</w:t>
      </w:r>
    </w:p>
    <w:tbl>
      <w:tblPr>
        <w:tblStyle w:val="Table14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E"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color w:val="8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unhideWhenUsed w:val="1"/>
    <w:rsid w:val="00EB7451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Domylnaczcionkaakapitu"/>
    <w:rsid w:val="00EB7451"/>
  </w:style>
  <w:style w:type="paragraph" w:styleId="Akapitzlist">
    <w:name w:val="List Paragraph"/>
    <w:basedOn w:val="Normalny"/>
    <w:uiPriority w:val="34"/>
    <w:qFormat w:val="1"/>
    <w:rsid w:val="00AD3B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Tq6K52TLyOw4MLtZqaLUoXEwg==">CgMxLjAyCGguZ2pkZ3hzOAByITEtTGlPWFVYcUgwS19IMzRyTTN2QXN2SF95MGI2cnVZZA==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2022-02-22T20:46:00Z</dcterms:created>
  <dc:creator>Justyna</dc:creator>
</cp:coreProperties>
</file>