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(realizowanego w module specjalnościowym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Pedagogika Społeczno-Opiekuńcza i Terapia Pedagogiczna 2 st., II rok, IV semestr, niestacjonarne do programu rozpoczynającego się w roku akademickim 2022/2023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44.0" w:type="dxa"/>
        <w:tblLayout w:type="fixed"/>
        <w:tblLook w:val="0400"/>
      </w:tblPr>
      <w:tblGrid>
        <w:gridCol w:w="1985"/>
        <w:gridCol w:w="7660"/>
        <w:tblGridChange w:id="0">
          <w:tblGrid>
            <w:gridCol w:w="1985"/>
            <w:gridCol w:w="766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Gerontpedagogika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Gerontopedagogy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144.0" w:type="dxa"/>
        <w:tblLayout w:type="fixed"/>
        <w:tblLook w:val="0400"/>
      </w:tblPr>
      <w:tblGrid>
        <w:gridCol w:w="3189"/>
        <w:gridCol w:w="3190"/>
        <w:gridCol w:w="3266"/>
        <w:tblGridChange w:id="0">
          <w:tblGrid>
            <w:gridCol w:w="3189"/>
            <w:gridCol w:w="3190"/>
            <w:gridCol w:w="326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Kawula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45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 Anna Kawula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147.0" w:type="dxa"/>
        <w:tblLayout w:type="fixed"/>
        <w:tblLook w:val="04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Celem jest zapoznanie z teoriami i koncepcjami starzenia się, a także radzenia sobie z troskami egzystencjalnymi. Zainteresowanie problemami osób starszych i uwrażliwienie na potrzeby osób starszych. Możliwości wsparcia osób starszych w trudnych sytuacjach życiowych, kreowania dialogu międzypokoleniowego oraz kształtowanie pozytywnych postaw.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Warunki wstępne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87.0" w:type="dxa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4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 zakresu andragogiki, pedagogiki społecznej, psychologii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Tworzenie konspektów zajęć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Kursy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Psychologia rozwojowa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Efekty uczenia się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4.999999999998" w:type="dxa"/>
        <w:jc w:val="left"/>
        <w:tblInd w:w="-147.0" w:type="dxa"/>
        <w:tblLayout w:type="fixed"/>
        <w:tblLook w:val="0400"/>
      </w:tblPr>
      <w:tblGrid>
        <w:gridCol w:w="1978"/>
        <w:gridCol w:w="5293"/>
        <w:gridCol w:w="2374"/>
        <w:tblGridChange w:id="0">
          <w:tblGrid>
            <w:gridCol w:w="1978"/>
            <w:gridCol w:w="5293"/>
            <w:gridCol w:w="2374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dla specjalności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(określonych w karcie programu studiów dla modułu specjalnościowego)</w:t>
            </w:r>
          </w:p>
        </w:tc>
      </w:tr>
      <w:tr>
        <w:trPr>
          <w:cantSplit w:val="1"/>
          <w:trHeight w:val="183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1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 wiedzę z zakresu gerontopedagogiki w jej teoretycznym i społecznym wymiarze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1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 Zna i rozumie istotę i złożoność aktywności społecznej i edukacyjnej osób w podeszłym wieku, rozumie prawidłowości i regulatory procesów edukacyjnych osób w wieku senioralnym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1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 Zna założenia organizacyjno-metodyczne wiodących form oświaty i uczestnictwa w życiu społecznym osób starszych 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W01, W02,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W02, W03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5.0" w:type="dxa"/>
        <w:jc w:val="left"/>
        <w:tblInd w:w="-147.0" w:type="dxa"/>
        <w:tblLayout w:type="fixed"/>
        <w:tblLook w:val="0400"/>
      </w:tblPr>
      <w:tblGrid>
        <w:gridCol w:w="1984"/>
        <w:gridCol w:w="5242"/>
        <w:gridCol w:w="2419"/>
        <w:tblGridChange w:id="0">
          <w:tblGrid>
            <w:gridCol w:w="1984"/>
            <w:gridCol w:w="5242"/>
            <w:gridCol w:w="2419"/>
          </w:tblGrid>
        </w:tblGridChange>
      </w:tblGrid>
      <w:tr>
        <w:trPr>
          <w:cantSplit w:val="1"/>
          <w:trHeight w:val="93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dla specjalności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(określonych w karcie programu studiów dla modułu specjalność)</w:t>
            </w:r>
          </w:p>
        </w:tc>
      </w:tr>
      <w:tr>
        <w:trPr>
          <w:cantSplit w:val="1"/>
          <w:trHeight w:val="211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U01, Umie diagnozować potrzeby i rozpoznawać potrzeby osób starszych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U02, Umie rozwijać pożądaną motywację i kreować formami wsparcia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U03, Umie organizować konkretne formy oświatowe, adekwatnie do oczekiwań, zainteresowań i potrzeb oświatowych potencjalnych odbiorców, dobierać treści, metody i środki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U04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5.0" w:type="dxa"/>
        <w:jc w:val="left"/>
        <w:tblInd w:w="-147.0" w:type="dxa"/>
        <w:tblLayout w:type="fixed"/>
        <w:tblLook w:val="0400"/>
      </w:tblPr>
      <w:tblGrid>
        <w:gridCol w:w="1984"/>
        <w:gridCol w:w="5242"/>
        <w:gridCol w:w="2419"/>
        <w:tblGridChange w:id="0">
          <w:tblGrid>
            <w:gridCol w:w="1984"/>
            <w:gridCol w:w="5242"/>
            <w:gridCol w:w="2419"/>
          </w:tblGrid>
        </w:tblGridChange>
      </w:tblGrid>
      <w:tr>
        <w:trPr>
          <w:cantSplit w:val="1"/>
          <w:trHeight w:val="80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 dla specjalności (określonych w karcie programu studiów dla modułu specjalnościowego)</w:t>
            </w:r>
          </w:p>
        </w:tc>
      </w:tr>
      <w:tr>
        <w:trPr>
          <w:cantSplit w:val="1"/>
          <w:trHeight w:val="174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K01, Angażuje się w działania wspierające rozwój osób starszych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K02, Poprawnie, skutecznie i zgodnie z zasadami etyki nawiązuje relacje z dorosłymi jako podmiotami działań edukacyjnych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K03, K04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K01, K02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4.999999999998" w:type="dxa"/>
        <w:jc w:val="left"/>
        <w:tblInd w:w="-144.0" w:type="dxa"/>
        <w:tblLayout w:type="fixed"/>
        <w:tblLook w:val="04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  <w:tblGridChange w:id="0">
          <w:tblGrid>
            <w:gridCol w:w="1611"/>
            <w:gridCol w:w="1225"/>
            <w:gridCol w:w="850"/>
            <w:gridCol w:w="272"/>
            <w:gridCol w:w="862"/>
            <w:gridCol w:w="315"/>
            <w:gridCol w:w="819"/>
            <w:gridCol w:w="284"/>
            <w:gridCol w:w="850"/>
            <w:gridCol w:w="284"/>
            <w:gridCol w:w="850"/>
            <w:gridCol w:w="284"/>
            <w:gridCol w:w="850"/>
            <w:gridCol w:w="289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Ind w:w="-147.0" w:type="dxa"/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21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 z wykorzystaniem literatury oraz aktualnych informacji z kraju i ze świata, wspomagany prezentacją multimedialną oraz krótkimi filmami, obrazami, raportami.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z wykorzystaniem metody projektów, dyskusja wielokrotna, konsultacje samokształceniowe, warsztaty prowadzone przez zespoły studentów pod nadzorem nauczyciela.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Diagnoza środowiska lokalnego pod kątem zaspokajanie potrzeb kulturalno-oświatowych osób starszych.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tbl>
      <w:tblPr>
        <w:tblStyle w:val="Table10"/>
        <w:tblW w:w="9630.000000000002" w:type="dxa"/>
        <w:jc w:val="left"/>
        <w:tblInd w:w="-113.0" w:type="dxa"/>
        <w:tblLayout w:type="fixed"/>
        <w:tblLook w:val="0400"/>
      </w:tblPr>
      <w:tblGrid>
        <w:gridCol w:w="961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  <w:tblGridChange w:id="0">
          <w:tblGrid>
            <w:gridCol w:w="961"/>
            <w:gridCol w:w="666"/>
            <w:gridCol w:w="666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76"/>
          </w:tblGrid>
        </w:tblGridChange>
      </w:tblGrid>
      <w:tr>
        <w:trPr>
          <w:cantSplit w:val="1"/>
          <w:trHeight w:val="161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c0c0c0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W03</w:t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U03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5.0" w:type="dxa"/>
        <w:jc w:val="left"/>
        <w:tblInd w:w="-144.0" w:type="dxa"/>
        <w:tblLayout w:type="fixed"/>
        <w:tblLook w:val="04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- udział w dyskusji  - zabranie głosu przynajmniej raz podczas dyskusji na temat wparcia rozwoju w późnej dorosłości oraz przedstawienie projektu spełniającego podstawowe kryteria prezentacji podejmowanej na zajęciach problematyki. Na zaliczenie student opracowuje i przeprowadza zajęcia przeznaczone dla seniorów lub dla dzieci/młodzieży (na temat starości). Ocenę końcową stanowi wynik z egzaminu pisemnego.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5.0" w:type="dxa"/>
        <w:jc w:val="left"/>
        <w:tblInd w:w="-144.0" w:type="dxa"/>
        <w:tblLayout w:type="fixed"/>
        <w:tblLook w:val="0400"/>
      </w:tblPr>
      <w:tblGrid>
        <w:gridCol w:w="1941"/>
        <w:gridCol w:w="7704"/>
        <w:tblGridChange w:id="0">
          <w:tblGrid>
            <w:gridCol w:w="1941"/>
            <w:gridCol w:w="770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brak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Treści merytoryczne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0.0" w:type="dxa"/>
        <w:jc w:val="left"/>
        <w:tblInd w:w="-147.0" w:type="dxa"/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Wykłady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Gerontologia, gerontologia społeczna, geragogika, gerontopedagogika – geneza, ewolucja, przedmiot zainteresowań, systematyka, podstawowe pojęcia dyscyplin, kierunki i problemy badawcze. Cele, zadania, terminologia, interdyscyplinarność w sferze badań i praktyki.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Sytuacja demograficzna Polski i świata. Tempo zmian demograficznych i przyczyny oraz skutki starzenia się społeczeństw.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Starość a niepełnosprawność.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Przejawy biologicznego starzenia się organizmu. Stan zdrowia i stopień sprawności psychofizycznej osób w okresie późnej dorosłości. Polityka społeczna wobec zmiany demograficznej. Aspekty międzynarodowe i krajowe.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Teorie i koncepcje starzenia się, style życia w starości. Modele psychicznych postaw przystosowania się do starości. Funkcjonowanie i potrzeby osób starszych z różnego rodzaju niepełnosprawnością. Specyfika niepełnosprawności w starszym wieku. Niepełnosprawność prekliniczna – istota i przejawy, postępowanie zaradcze.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Potrzeby człowieka starszego. Możliwości i ograniczenia ich zaspokajania oraz rekompensowania. Lęki i niepokoje pokolenia 60+ w kontekście ekskluzji społecznej.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Psychospołeczne funkcjonowanie osób starszych z niepełnosprawnością: kryzysy okresu późnej dorosłości (utrata zdrowia i sprawności psychofizycznej, odchodzenie bliskich osób, samotność i osamotnienie, samobójstwa, przemoc wobec osób starszych, uzależnienia).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Gerontologia edukacyjna. Gerontopedagogika. Wartości służące pomyślnemu starzeniu się. Edukacja do, przez, w i dla starości. Stosunek społeczeństwa i samych niepełnosprawnych seniorów do starości, niepełnosprawności, rehabilitacji - istota, przyczyny, konsekwencje, postępowanie zaradcze. Różne oblicza starości a stereotyp starości. Postawy młodszych pokoleń wobec starości. Ageizm – pojęcie, symptomy, przyczyny, postępowanie zaradcze. Starość w mediach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Wielowymiarowość przestrzeni życiowej i społecznej ludzi starych – rodzina i społeczność lokalna w życiu seniorów.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Niepełnosprawna osoba dorosła i starsza w rodzinie. Funkcje małżeńskie. Seksualność. Funkcje rodzicielskie. Funkcje dziadków. Wsparcie rodziny.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Niepełnosprawna osoba dorosła i starsza w placówkach pomocy społecznej.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Środowiskowe i instytucjonalne formy pomocy społecznej. Zadania OPS i PCPR. Doradztwo gerontopedagogiczne – typowe zakresy. Ośrodki wsparcia dziennego – metodyka wsparcia geragogicznego. Przestrzeń życiowa domu pomocy społecznej dla osób starszych. Zaspokajanie potrzeb rozwojowych.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Asystent (opiekun) człowieka starszego – zadania w poszczególnych typach opieki. Metody pracy z mieszkańcami domów pomocy społecznej.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 edukacji, rehabilitacji, terapii i resocjalizacji niepełnosprawnych osób w starszym wieku.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Zespoły opiekuńczo-terapeutyczne. Aktywizacja. Terapia zajęciowa. Indywidualne plany wsparcia.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Rola aktywności kulturalnej i społecznej w życiu osoby starszej. Instytucje wspomagające człowieka starszego: uniwersytet trzeciego wieku, klub seniora, kursy dla @-seniorów. Senior a nowoczesne technologie. Możliwości intelektualne człowieka starszego. Wiek senioralny osób z niepełnosprawnością – granice i możliwości rozwojowe. Senior w procesie uczenia się - metodyka pracy.</w:t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0.0" w:type="dxa"/>
        <w:jc w:val="left"/>
        <w:tblInd w:w="-147.0" w:type="dxa"/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hanging="2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Chrzanowska I.,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Pedagogika specjalna – od tradycji do współczesności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Kraków 2015: 5.4.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Starość osób z niepełnosprawnością – wyzwanie do pedagogiki specjalnej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hanging="2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Kijak R.J., Szarota Z.,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Starość. Między diagnozą a działaniem.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Warszawa 2013.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hanging="2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Leszczyńska-Rejchert A.,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Człowiek starszy i jego wsparcie - w stronę pedagogiki starości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Olsztyn 2005.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Kilian M.,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Geragogika specjalna w dobie starzenia się społeczeństw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[w:]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Dylematy (niepełno)sprawności – rozważania na marginesie studiów kulturowo-społecznych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red. M. Dycht, L. Marszałek, Warszawa 2009.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Kilian M.,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Pedagogika specjalna osób w starszym wieku,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Wyd. Impuls, Kraków 2021.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Szatur-Jaworska B., Błędowski P., Dzięgielewska M.,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Podstawy gerontologii społecznej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Warszawa 2006.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Zych A.A., Kaleta-Witusiak M.,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Geragogika specjalna – moralnym obowiązkiem naszych czasów,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[w:]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Wybrane problemy osób starszych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red. A. Nowicka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Kraków 2008.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0.0" w:type="dxa"/>
        <w:jc w:val="left"/>
        <w:tblInd w:w="-147.0" w:type="dxa"/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11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Błędowski P.,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Lokalna polityka społeczna wobec ludzi starych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Warszawa 2002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Bugajska B.,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Tożsamość człowieka w starości. Studium socjopedagogiczne.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Szczecin 2015.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Czerniawska O.,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Drogi i bezdroża andragogiki i gerontologii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Łódź 2000.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do i w starości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M. Kuchcińska (red.)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Bydgoszcz 2008.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Exlibris Biblioteka Gerontologii Społecznej: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www.bgs.up.krakow.pl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Kawula A.,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Klub seniora społeczności żydowskiej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[w:]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Seniorzy w środowisku lokalnym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,(red.) A. Zawada, Ł. Tomczyk, Wyd. UŚ, Katowice 2013.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hanging="2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Kijak R.J., Szarota Z.,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Starość. Między diagnozą a działaniem.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Warszawa 2013.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Klimek, M.,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Funkcjonowanie jednostek samorządu terytorialnego podczas pandemii COVID-19.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Studia Politologiczne,  2022, 64, 89–108.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Nowicka A.,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Opieka i wsparcie osób z chorobą Alzheimera i ich opiekunów rodzinnych w Polsce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Zielona Góra 2015.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" w:right="0" w:hanging="2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Szarota Z.,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Starzenie się i starość w wymiarze instytucjonalnego wsparcia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Kraków 2010.</w:t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5.0" w:type="dxa"/>
        <w:jc w:val="left"/>
        <w:tblInd w:w="-113.0" w:type="dxa"/>
        <w:tblLayout w:type="fixed"/>
        <w:tblLook w:val="0400"/>
      </w:tblPr>
      <w:tblGrid>
        <w:gridCol w:w="2764"/>
        <w:gridCol w:w="5746"/>
        <w:gridCol w:w="1075"/>
        <w:tblGridChange w:id="0">
          <w:tblGrid>
            <w:gridCol w:w="2764"/>
            <w:gridCol w:w="5746"/>
            <w:gridCol w:w="1075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Audytorium (ćwiczenia, laboratorium itd.)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referatu po zapoznaniu się z niezbędną literaturą przedmiotu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73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się do egzaminu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17365d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000000" w:space="0" w:sz="0" w:val="nil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left"/>
      <w:pPr>
        <w:ind w:left="2880" w:hanging="360"/>
      </w:pPr>
      <w:rPr/>
    </w:lvl>
    <w:lvl w:ilvl="4">
      <w:start w:val="1"/>
      <w:numFmt w:val="lowerLetter"/>
      <w:lvlText w:val="%1.%2.%3.%4.%5."/>
      <w:lvlJc w:val="left"/>
      <w:pPr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06EB3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Listapunktowana">
    <w:name w:val="List Bullet"/>
    <w:basedOn w:val="Normalny"/>
    <w:autoRedefine w:val="1"/>
    <w:unhideWhenUsed w:val="1"/>
    <w:rsid w:val="004471E8"/>
    <w:pPr>
      <w:widowControl w:val="1"/>
      <w:suppressAutoHyphens w:val="0"/>
      <w:autoSpaceDE w:val="1"/>
      <w:jc w:val="both"/>
    </w:pPr>
    <w:rPr>
      <w:rFonts w:ascii="Arial" w:cs="Arial" w:hAnsi="Arial"/>
      <w:sz w:val="20"/>
      <w:szCs w:val="20"/>
    </w:rPr>
  </w:style>
  <w:style w:type="character" w:styleId="ZwykytekstZnak" w:customStyle="1">
    <w:name w:val="Zwykły tekst Znak"/>
    <w:aliases w:val="Znak Znak"/>
    <w:basedOn w:val="Domylnaczcionkaakapitu"/>
    <w:link w:val="Zwykytekst"/>
    <w:semiHidden w:val="1"/>
    <w:locked w:val="1"/>
    <w:rsid w:val="00B06EB3"/>
    <w:rPr>
      <w:rFonts w:ascii="Courier New" w:cs="Courier New" w:eastAsia="Courier New" w:hAnsi="Courier New"/>
      <w:color w:val="000000"/>
      <w:u w:color="000000"/>
      <w:bdr w:color="auto" w:frame="1" w:space="0" w:sz="0" w:val="none"/>
    </w:rPr>
  </w:style>
  <w:style w:type="paragraph" w:styleId="Zwykytekst">
    <w:name w:val="Plain Text"/>
    <w:aliases w:val="Znak"/>
    <w:link w:val="ZwykytekstZnak"/>
    <w:semiHidden w:val="1"/>
    <w:unhideWhenUsed w:val="1"/>
    <w:rsid w:val="00B06EB3"/>
    <w:pPr>
      <w:spacing w:after="0" w:line="240" w:lineRule="auto"/>
    </w:pPr>
    <w:rPr>
      <w:rFonts w:ascii="Courier New" w:cs="Courier New" w:eastAsia="Courier New" w:hAnsi="Courier New"/>
      <w:color w:val="000000"/>
      <w:u w:color="000000"/>
      <w:bdr w:color="auto" w:frame="1" w:space="0" w:sz="0" w:val="none"/>
    </w:rPr>
  </w:style>
  <w:style w:type="character" w:styleId="ZwykytekstZnak1" w:customStyle="1">
    <w:name w:val="Zwykły tekst Znak1"/>
    <w:basedOn w:val="Domylnaczcionkaakapitu"/>
    <w:uiPriority w:val="99"/>
    <w:semiHidden w:val="1"/>
    <w:rsid w:val="00B06EB3"/>
    <w:rPr>
      <w:rFonts w:ascii="Consolas" w:cs="Times New Roman" w:eastAsia="Times New Roman" w:hAnsi="Consolas"/>
      <w:kern w:val="0"/>
      <w:sz w:val="21"/>
      <w:szCs w:val="21"/>
      <w:lang w:eastAsia="pl-PL"/>
    </w:rPr>
  </w:style>
  <w:style w:type="paragraph" w:styleId="Akapitzlist">
    <w:name w:val="List Paragraph"/>
    <w:uiPriority w:val="34"/>
    <w:qFormat w:val="1"/>
    <w:rsid w:val="00B06EB3"/>
    <w:pPr>
      <w:spacing w:after="0" w:line="240" w:lineRule="auto"/>
      <w:ind w:left="720"/>
    </w:pPr>
    <w:rPr>
      <w:rFonts w:ascii="Times New Roman" w:cs="Arial Unicode MS" w:eastAsia="Arial Unicode MS" w:hAnsi="Arial Unicode MS"/>
      <w:color w:val="000000"/>
      <w:kern w:val="0"/>
      <w:sz w:val="20"/>
      <w:szCs w:val="20"/>
      <w:u w:color="000000"/>
      <w:lang w:eastAsia="pl-PL"/>
    </w:rPr>
  </w:style>
  <w:style w:type="paragraph" w:styleId="Standard" w:customStyle="1">
    <w:name w:val="Standard"/>
    <w:rsid w:val="00B06EB3"/>
    <w:pPr>
      <w:suppressAutoHyphens w:val="1"/>
      <w:autoSpaceDN w:val="0"/>
      <w:spacing w:after="200" w:line="276" w:lineRule="auto"/>
    </w:pPr>
    <w:rPr>
      <w:rFonts w:ascii="Calibri" w:cs="Times New Roman" w:eastAsia="Calibri" w:hAnsi="Calibri"/>
      <w:kern w:val="3"/>
    </w:rPr>
  </w:style>
  <w:style w:type="paragraph" w:styleId="TableContents" w:customStyle="1">
    <w:name w:val="Table Contents"/>
    <w:basedOn w:val="Standard"/>
    <w:rsid w:val="00B06EB3"/>
    <w:pPr>
      <w:suppressLineNumbers w:val="1"/>
    </w:pPr>
    <w:rPr>
      <w:lang w:eastAsia="zh-CN"/>
    </w:rPr>
  </w:style>
  <w:style w:type="character" w:styleId="Uwydatnienie">
    <w:name w:val="Emphasis"/>
    <w:basedOn w:val="Domylnaczcionkaakapitu"/>
    <w:uiPriority w:val="20"/>
    <w:qFormat w:val="1"/>
    <w:rsid w:val="00B06EB3"/>
    <w:rPr>
      <w:i w:val="1"/>
      <w:iCs w:val="1"/>
    </w:rPr>
  </w:style>
  <w:style w:type="numbering" w:styleId="WWNum5" w:customStyle="1">
    <w:name w:val="WWNum5"/>
    <w:rsid w:val="00B06EB3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 w:val="1"/>
    <w:rsid w:val="000D36E4"/>
    <w:pPr>
      <w:widowControl w:val="1"/>
      <w:suppressAutoHyphens w:val="0"/>
      <w:autoSpaceDE w:val="1"/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unhideWhenUsed w:val="1"/>
    <w:rsid w:val="007D3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7D34D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gs.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SpOHH8LnFNJf22Kwpt/oOickA==">CgMxLjA4AHIhMUhDcktiOTJTLVlqSGtvSk13ektxVjFwNXh2cTNrcVJT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2023-10-15T09:33:00Z</dcterms:created>
  <dc:creator>Anna Kawula</dc:creator>
</cp:coreProperties>
</file>