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Kierunek: Pedagogika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Specjalność: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prowadzenia: niestacjonarne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Stopień: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Rok: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Etos pracy pedagoga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Ethos of the Teaching Profession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Dr Marta Krupska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Dr Marta Krupska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Celem kursu jest wprowadzenie do rozważań i badań nad rekonstrukcją wzoru idealnego nauczyciela;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Pogłębienie i uporządkowanie wiedzy na temat etosu pracy pedagoga;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Wskazanie czynników mogących ułatwić lub utrudnić realizowanie nauczycielskiego etosu;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Przygotowanie do konceptualizacji i realizacji projektów badawczych.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838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K_W01 Zna terminologię używaną w pedagogice i rozumie jej źródła etyczne oraz zastosowania dla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K_W02 Ma wiedzę na temat edukacji oraz jej etycznych podstaw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K_W03 Ma wiedzę o różnych rodzajach struktur społecznych i instytucjach życia społecznego oraz zachodzących między nimi relacjach.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P6U_W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P6U_W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P6U_W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K_U01 Posługuje się terminologią używaną w pedagogice i dyscyplinach pokrewnych oraz poprawnie uzasadnia jej stosowanie.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K_U02 Interpretuje zjawiska edukacyjne, posługuje się wiedzą z zakresu etyki pedagogicznej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K_U03 Korzysta z wiedzy o różnych rodzajach struktur i instytucjach życia społecznego. Tłumaczy i ocenia zachodzące między nimi relacje i dobiera sposoby skutecznego komunikowania się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P6U_U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P6U_U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P6U_U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98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K_K01 Dokonuje samooceny wiedzy i umiejętności w zakresie wiedzy o etosie zawodu pedagoga i podstawowych zagadnień etyki pedagogicznej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K_K02 Potrafi zachowywać się w sposób profesjonalny, jest zdolny do refleksji etycznej i przestrzegania zasad etyki zawodowej.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K_K03 Jest zdolny do pracy indywidualnej i grupowej w celu zwiększenia etycznych standardów pracy nauczyciela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P6U_K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P6U_K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P6U_K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metoda projektowa, praca w grupach.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w grupach: Etos i pedagogiczna komunikacja – wartości a budowanie relacji pedagogicznej. Projekt będzie przygotowany o przygotowanie prezentacji w małych 3-4 osobowych zespołach. Temat prezentacji będzie dotyczył poszczególnych kategorii aksjologicznych znaczących dla budowania relacji pedagogicznej.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Każdy zespół otrzymuje do dyspozycji 25 minut zajęć, które poprowadzi w ciągu semestru.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Prezentacji mogą towarzyszyć ćwiczenia, które zespół zaproponuje grupie do wykonania w trakcie zajęć lub pomiędzy zajęciami.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Obecność, aktywność, praca w grupach nad wybranym zagadnieniem. Wykonanie zadania w ramach projektu w grupach: Dylemat etyczny w pracy pedagoga – refleksja i wnioski przedstawione w oparciu o przeprowadzone wywiady z pedagogami, będącymi reprezentantami różnych pokoleń.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Krótki esej forma sprawozdania i podsumowania przeprowadzonych wywiadów.</w:t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108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merytoryczne: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Znaczenie i aktualność pojęcia etosu – etymologia, przegląd definicji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Tożsamość zawodowa nauczycieli. Czynniki ułatwiające i utrudniające nauczycielom sprostanie wymogom zawodowym i społecznym.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Etyczny wymiar pracy nauczyciela – pedagoga. Dylemat etyczny w etyce pedagogicznej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Kompetencje i zadania pedagoga w perspektywie etycznej.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Etos pracy pedagoga o relacja pedagogiczna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  Etos pedagoga w tekstach kultury: Film i inne teksty kultury w dyskusji nad problematyką moralną w zawodzie pedagoga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Etos pracy pedagoga w perspektywie pedagogiki humanistycznej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Kutrowska B (2008),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Spojrzenie na rolę nauczyciela z perspektywy różnych oczekiwań społecznych,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/w:/ Rudnicki P., Kutrowska B., Nowak-Dziemianowicz M. /red./,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Nauczyciel: misja czy zawód: społeczne i profesjonalne aspekty roli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Wrocław: Wyd. Naukowe Dolnośląskiej Szkoły Wyższej.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Kwaśnica R. (2003),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Wprowadzenie do myślenia o nauczycielu,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/w:/ Z. Kwieciński, B Śliwerski /red./,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Pedagogika,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PWN: Warszawa.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Kwiatkowska H.(1991),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Etos zawodowy nauczyciela i jego przemiany, w: Przemiany zawodu nauczycielskiego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pod red J. Nowaka, Wydawnictwo PAN: Wrocław. PAN.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Pękala J. (2014),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Nauczyciel dziś – pedagog czy edukator,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Autorytet wczoraj – dziś – jutro,pod red J. Zimneg0,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Stalowa Wola.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Matter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Breath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Foundations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for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Professional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., pod red Guillaume de Stexhe, Johan Verstraeten, Peeters, Leuven 2000.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Krupska M (2020),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Pedagogical experience in the light of phenomenological reflexion: a few inspiration from Max van Manen and Polish phenomenological pedagogy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Challenges of modern education : Education - Teacher – Learner, red. Katarzyna Jagielska, Anna Mróz, Norbert G.Pikuła.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Etos edukacji w XXI wieku: zbiór studiów (Ethos of education in the 21 century), pod red. Ireny Wojnar ; Komitet Prognoz "Polska 2000 Plus" przy Prezydium PAN,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Dom Wydawniczy i Handlowy Elipsa.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pgSz w:h="16837" w:w="11905" w:orient="portrait"/>
      <w:pgMar w:bottom="1134" w:top="1276" w:left="1134" w:right="1134" w:header="45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A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Załącznik nr 4 do zarządzenia nr RD.Z.0211.3.2021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kstdymka1">
    <w:name w:val="Tekst dymka1"/>
    <w:basedOn w:val="Normalny"/>
    <w:next w:val="Tekstdymka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wrtext">
    <w:name w:val="wrtext"/>
    <w:basedOn w:val="Domyślnaczcionkaakapitu"/>
    <w:next w:val="wr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paragraph">
    <w:name w:val="paragraph"/>
    <w:basedOn w:val="Normalny"/>
    <w:next w:val="paragraph"/>
    <w:autoRedefine w:val="0"/>
    <w:hidden w:val="0"/>
    <w:qFormat w:val="0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ormaltextrun">
    <w:name w:val="normaltextrun"/>
    <w:basedOn w:val="Domyślnaczcionkaakapitu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Domyślnaczcionkaakapitu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talogup.cyfronet.pl/search/query?match_1=PHRASE&amp;field_1=a&amp;term_1=Dom+Wydawniczy+i+Handlowy+Elipsa.&amp;theme=up" TargetMode="External"/><Relationship Id="rId10" Type="http://schemas.openxmlformats.org/officeDocument/2006/relationships/hyperlink" Target="https://www.jezuici.krakow.pl/cgi-bin/rjbo?b=kata&amp;i=120&amp;q=Professio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ezuici.krakow.pl/cgi-bin/rjbo?b=kata&amp;i=120&amp;q=Foundat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ezuici.krakow.pl/cgi-bin/rjbo?b=kata&amp;i=120&amp;q=Matt" TargetMode="External"/><Relationship Id="rId8" Type="http://schemas.openxmlformats.org/officeDocument/2006/relationships/hyperlink" Target="https://www.jezuici.krakow.pl/cgi-bin/rjbo?b=kata&amp;i=120&amp;q=Bre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IJMpU4kxEX1enkb5wMEzBrArA==">CgMxLjA4AHIhMUh3SXdDalNhUlJHeGhFZjBSMV9xS2piYmR0ZHhNVDRV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2024-03-14T19:29:00Z</dcterms:created>
  <dc:creator>Barbara Wilk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