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41AF" w14:textId="5E7B18BA" w:rsidR="00333344" w:rsidRDefault="00333344"/>
    <w:p w14:paraId="7280EF1A" w14:textId="77777777" w:rsidR="00E4319D" w:rsidRPr="00E4319D" w:rsidRDefault="00E4319D" w:rsidP="00E4319D">
      <w:pPr>
        <w:keepNext/>
        <w:autoSpaceDE/>
        <w:autoSpaceDN w:val="0"/>
        <w:jc w:val="center"/>
        <w:textAlignment w:val="baseline"/>
        <w:rPr>
          <w:rFonts w:ascii="Arial" w:hAnsi="Arial" w:cs="Arial"/>
          <w:b/>
          <w:bCs/>
          <w:kern w:val="3"/>
          <w:sz w:val="20"/>
          <w:szCs w:val="20"/>
        </w:rPr>
      </w:pPr>
      <w:r w:rsidRPr="00E4319D">
        <w:rPr>
          <w:rFonts w:ascii="Arial" w:hAnsi="Arial" w:cs="Arial"/>
          <w:b/>
          <w:bCs/>
          <w:kern w:val="3"/>
          <w:sz w:val="20"/>
          <w:szCs w:val="20"/>
        </w:rPr>
        <w:t>KARTA KURSU</w:t>
      </w:r>
    </w:p>
    <w:p w14:paraId="5761B7F9" w14:textId="77777777" w:rsidR="00E4319D" w:rsidRPr="00E4319D" w:rsidRDefault="00E4319D" w:rsidP="00E4319D">
      <w:pPr>
        <w:autoSpaceDE/>
        <w:autoSpaceDN w:val="0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E4319D">
        <w:rPr>
          <w:rFonts w:ascii="Arial" w:hAnsi="Arial" w:cs="Arial"/>
          <w:b/>
          <w:kern w:val="3"/>
          <w:sz w:val="20"/>
          <w:szCs w:val="20"/>
          <w:lang w:eastAsia="ar-SA"/>
        </w:rPr>
        <w:t>(realizowanego w module specjalnościowym</w:t>
      </w:r>
      <w:r w:rsidRPr="00E4319D">
        <w:rPr>
          <w:rFonts w:ascii="Arial" w:hAnsi="Arial" w:cs="Arial"/>
          <w:kern w:val="3"/>
          <w:sz w:val="20"/>
          <w:szCs w:val="20"/>
          <w:lang w:eastAsia="ar-SA"/>
        </w:rPr>
        <w:t>)</w:t>
      </w:r>
    </w:p>
    <w:p w14:paraId="5ADBAB4A" w14:textId="4BEEE87E" w:rsidR="00E4319D" w:rsidRPr="00E4319D" w:rsidRDefault="00CF3F88" w:rsidP="00E4319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Resocjalizacja i profilaktyka społeczna </w:t>
      </w:r>
      <w:r w:rsidR="00E4319D" w:rsidRPr="00E4319D">
        <w:rPr>
          <w:rFonts w:ascii="Arial" w:hAnsi="Arial" w:cs="Arial"/>
          <w:sz w:val="20"/>
          <w:szCs w:val="20"/>
        </w:rPr>
        <w:t xml:space="preserve">st. stacjonarne, semestr </w:t>
      </w:r>
      <w:r>
        <w:rPr>
          <w:rFonts w:ascii="Arial" w:hAnsi="Arial" w:cs="Arial"/>
          <w:sz w:val="20"/>
          <w:szCs w:val="20"/>
        </w:rPr>
        <w:t>VI</w:t>
      </w:r>
    </w:p>
    <w:p w14:paraId="38471BF0" w14:textId="74732C66" w:rsidR="00E4319D" w:rsidRPr="00E4319D" w:rsidRDefault="00E4319D" w:rsidP="00E4319D">
      <w:pPr>
        <w:jc w:val="center"/>
        <w:rPr>
          <w:rFonts w:ascii="Arial" w:hAnsi="Arial" w:cs="Arial"/>
          <w:sz w:val="20"/>
          <w:szCs w:val="20"/>
        </w:rPr>
      </w:pPr>
      <w:r w:rsidRPr="00E4319D">
        <w:rPr>
          <w:rFonts w:ascii="Arial" w:hAnsi="Arial" w:cs="Arial"/>
          <w:sz w:val="20"/>
          <w:szCs w:val="20"/>
        </w:rPr>
        <w:t xml:space="preserve"> do programu rozpoczynającego się w roku akademickim 20</w:t>
      </w:r>
      <w:r w:rsidR="00CF3F88">
        <w:rPr>
          <w:rFonts w:ascii="Arial" w:hAnsi="Arial" w:cs="Arial"/>
          <w:sz w:val="20"/>
          <w:szCs w:val="20"/>
        </w:rPr>
        <w:t>2</w:t>
      </w:r>
      <w:r w:rsidR="008A3D1B">
        <w:rPr>
          <w:rFonts w:ascii="Arial" w:hAnsi="Arial" w:cs="Arial"/>
          <w:sz w:val="20"/>
          <w:szCs w:val="20"/>
        </w:rPr>
        <w:t>1</w:t>
      </w:r>
      <w:r w:rsidRPr="00E4319D">
        <w:rPr>
          <w:rFonts w:ascii="Arial" w:hAnsi="Arial" w:cs="Arial"/>
          <w:sz w:val="20"/>
          <w:szCs w:val="20"/>
        </w:rPr>
        <w:t>/202</w:t>
      </w:r>
      <w:r w:rsidR="008A3D1B">
        <w:rPr>
          <w:rFonts w:ascii="Arial" w:hAnsi="Arial" w:cs="Arial"/>
          <w:sz w:val="20"/>
          <w:szCs w:val="20"/>
        </w:rPr>
        <w:t>2</w:t>
      </w:r>
    </w:p>
    <w:p w14:paraId="1B0788CD" w14:textId="77777777" w:rsidR="00E4319D" w:rsidRPr="00E4319D" w:rsidRDefault="00E4319D" w:rsidP="00E4319D">
      <w:pPr>
        <w:autoSpaceDE/>
        <w:autoSpaceDN w:val="0"/>
        <w:textAlignment w:val="baseline"/>
        <w:rPr>
          <w:rFonts w:ascii="Arial" w:hAnsi="Arial" w:cs="Arial"/>
          <w:b/>
          <w:bCs/>
          <w:i/>
          <w:kern w:val="3"/>
          <w:sz w:val="20"/>
          <w:szCs w:val="20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60"/>
      </w:tblGrid>
      <w:tr w:rsidR="00E4319D" w:rsidRPr="00E4319D" w14:paraId="0DB4B4E2" w14:textId="77777777" w:rsidTr="00371B02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7E64F" w14:textId="77777777" w:rsidR="00E4319D" w:rsidRPr="00E4319D" w:rsidRDefault="00E4319D" w:rsidP="00E4319D">
            <w:pPr>
              <w:autoSpaceDE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B2344" w14:textId="77777777" w:rsidR="00E4319D" w:rsidRPr="00E4319D" w:rsidRDefault="00E4319D" w:rsidP="00AD7491">
            <w:pPr>
              <w:suppressLineNumbers/>
              <w:autoSpaceDN w:val="0"/>
              <w:snapToGrid w:val="0"/>
              <w:spacing w:before="60" w:after="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shd w:val="clear" w:color="auto" w:fill="FFFFFF"/>
              </w:rPr>
              <w:t xml:space="preserve">Dydaktyka działań </w:t>
            </w:r>
            <w:proofErr w:type="spellStart"/>
            <w:r w:rsidRPr="00E4319D">
              <w:rPr>
                <w:rFonts w:ascii="Arial" w:hAnsi="Arial" w:cs="Arial"/>
                <w:kern w:val="3"/>
                <w:sz w:val="20"/>
                <w:szCs w:val="20"/>
                <w:shd w:val="clear" w:color="auto" w:fill="FFFFFF"/>
              </w:rPr>
              <w:t>andragogicznych</w:t>
            </w:r>
            <w:proofErr w:type="spellEnd"/>
          </w:p>
        </w:tc>
      </w:tr>
      <w:tr w:rsidR="00E4319D" w:rsidRPr="00E4319D" w14:paraId="2E19A90D" w14:textId="77777777" w:rsidTr="00371B02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BF906" w14:textId="77777777" w:rsidR="00E4319D" w:rsidRPr="00E4319D" w:rsidRDefault="00E4319D" w:rsidP="00E4319D">
            <w:pPr>
              <w:autoSpaceDE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D3A7D" w14:textId="77777777" w:rsidR="00E4319D" w:rsidRPr="00E4319D" w:rsidRDefault="00E4319D" w:rsidP="00AD7491">
            <w:pPr>
              <w:suppressLineNumbers/>
              <w:autoSpaceDN w:val="0"/>
              <w:snapToGrid w:val="0"/>
              <w:spacing w:before="60" w:after="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proofErr w:type="spellStart"/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Didactics</w:t>
            </w:r>
            <w:proofErr w:type="spellEnd"/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 xml:space="preserve"> of </w:t>
            </w:r>
            <w:proofErr w:type="spellStart"/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andragogical</w:t>
            </w:r>
            <w:proofErr w:type="spellEnd"/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 xml:space="preserve"> </w:t>
            </w:r>
            <w:proofErr w:type="spellStart"/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activities</w:t>
            </w:r>
            <w:proofErr w:type="spellEnd"/>
          </w:p>
        </w:tc>
      </w:tr>
    </w:tbl>
    <w:p w14:paraId="297710D2" w14:textId="77777777" w:rsidR="00E4319D" w:rsidRPr="00E4319D" w:rsidRDefault="00E4319D" w:rsidP="00E4319D">
      <w:pPr>
        <w:autoSpaceDN w:val="0"/>
        <w:jc w:val="center"/>
        <w:textAlignment w:val="baseline"/>
        <w:rPr>
          <w:rFonts w:ascii="Arial" w:hAnsi="Arial" w:cs="Arial"/>
          <w:kern w:val="3"/>
          <w:sz w:val="20"/>
          <w:szCs w:val="20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6"/>
      </w:tblGrid>
      <w:tr w:rsidR="00E4319D" w:rsidRPr="00E4319D" w14:paraId="19051116" w14:textId="77777777" w:rsidTr="00371B02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D0B80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F04B7" w14:textId="6E73FF3C" w:rsidR="00E4319D" w:rsidRPr="00E4319D" w:rsidRDefault="00CF3F88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Dr Anna Kawula</w:t>
            </w:r>
          </w:p>
        </w:tc>
        <w:tc>
          <w:tcPr>
            <w:tcW w:w="32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4CACE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Zespół dydaktyczny</w:t>
            </w:r>
          </w:p>
        </w:tc>
      </w:tr>
      <w:tr w:rsidR="00E4319D" w:rsidRPr="00E4319D" w14:paraId="73CC6F92" w14:textId="77777777" w:rsidTr="00371B02">
        <w:trPr>
          <w:cantSplit/>
          <w:trHeight w:val="344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D4112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645B3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CCF1A" w14:textId="5A3BEA2B" w:rsidR="00E4319D" w:rsidRPr="00E4319D" w:rsidRDefault="00E4319D" w:rsidP="00E4319D">
            <w:pPr>
              <w:suppressLineNumbers/>
              <w:autoSpaceDE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Dr </w:t>
            </w:r>
            <w:r w:rsidR="00CF3F88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Anna Kawula</w:t>
            </w:r>
          </w:p>
          <w:p w14:paraId="1067A909" w14:textId="06BEEE7C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E4319D" w:rsidRPr="00E4319D" w14:paraId="196F08D3" w14:textId="77777777" w:rsidTr="00371B02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121D0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AE015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37653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19D" w:rsidRPr="00E4319D" w14:paraId="268D2D91" w14:textId="77777777" w:rsidTr="00371B02">
        <w:trPr>
          <w:cantSplit/>
          <w:trHeight w:val="498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242BE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766C9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F1F36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9CA14" w14:textId="77777777" w:rsidR="00E4319D" w:rsidRPr="00E4319D" w:rsidRDefault="00E4319D" w:rsidP="00E4319D">
      <w:pPr>
        <w:keepNext/>
        <w:autoSpaceDE/>
        <w:autoSpaceDN w:val="0"/>
        <w:jc w:val="center"/>
        <w:textAlignment w:val="baseline"/>
        <w:rPr>
          <w:rFonts w:ascii="Arial" w:hAnsi="Arial" w:cs="Arial"/>
          <w:b/>
          <w:bCs/>
          <w:kern w:val="3"/>
          <w:sz w:val="20"/>
          <w:szCs w:val="20"/>
        </w:rPr>
      </w:pPr>
      <w:r w:rsidRPr="00E4319D">
        <w:rPr>
          <w:rFonts w:ascii="Arial" w:hAnsi="Arial" w:cs="Arial"/>
          <w:b/>
          <w:bCs/>
          <w:kern w:val="3"/>
          <w:sz w:val="20"/>
          <w:szCs w:val="20"/>
        </w:rPr>
        <w:tab/>
      </w:r>
      <w:r w:rsidRPr="00E4319D">
        <w:rPr>
          <w:rFonts w:ascii="Arial" w:hAnsi="Arial" w:cs="Arial"/>
          <w:b/>
          <w:bCs/>
          <w:kern w:val="3"/>
          <w:sz w:val="20"/>
          <w:szCs w:val="20"/>
        </w:rPr>
        <w:tab/>
      </w:r>
      <w:r w:rsidRPr="00E4319D">
        <w:rPr>
          <w:rFonts w:ascii="Arial" w:hAnsi="Arial" w:cs="Arial"/>
          <w:b/>
          <w:bCs/>
          <w:kern w:val="3"/>
          <w:sz w:val="20"/>
          <w:szCs w:val="20"/>
        </w:rPr>
        <w:tab/>
      </w:r>
      <w:r w:rsidRPr="00E4319D">
        <w:rPr>
          <w:rFonts w:ascii="Arial" w:hAnsi="Arial" w:cs="Arial"/>
          <w:b/>
          <w:bCs/>
          <w:kern w:val="3"/>
          <w:sz w:val="20"/>
          <w:szCs w:val="20"/>
        </w:rPr>
        <w:tab/>
      </w:r>
      <w:r w:rsidRPr="00E4319D">
        <w:rPr>
          <w:rFonts w:ascii="Arial" w:hAnsi="Arial" w:cs="Arial"/>
          <w:b/>
          <w:bCs/>
          <w:kern w:val="3"/>
          <w:sz w:val="20"/>
          <w:szCs w:val="20"/>
        </w:rPr>
        <w:tab/>
      </w:r>
      <w:r w:rsidRPr="00E4319D">
        <w:rPr>
          <w:rFonts w:ascii="Arial" w:hAnsi="Arial" w:cs="Arial"/>
          <w:b/>
          <w:bCs/>
          <w:kern w:val="3"/>
          <w:sz w:val="20"/>
          <w:szCs w:val="20"/>
        </w:rPr>
        <w:tab/>
      </w:r>
      <w:r w:rsidRPr="00E4319D">
        <w:rPr>
          <w:rFonts w:ascii="Arial" w:hAnsi="Arial" w:cs="Arial"/>
          <w:b/>
          <w:bCs/>
          <w:kern w:val="3"/>
          <w:sz w:val="20"/>
          <w:szCs w:val="20"/>
        </w:rPr>
        <w:tab/>
      </w:r>
      <w:r w:rsidRPr="00E4319D">
        <w:rPr>
          <w:rFonts w:ascii="Arial" w:hAnsi="Arial" w:cs="Arial"/>
          <w:b/>
          <w:bCs/>
          <w:kern w:val="3"/>
          <w:sz w:val="20"/>
          <w:szCs w:val="20"/>
        </w:rPr>
        <w:tab/>
      </w:r>
    </w:p>
    <w:p w14:paraId="256A0FCC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E4319D">
        <w:rPr>
          <w:rFonts w:ascii="Arial" w:hAnsi="Arial" w:cs="Arial"/>
          <w:kern w:val="3"/>
          <w:sz w:val="20"/>
          <w:szCs w:val="20"/>
        </w:rPr>
        <w:t>Opis kursu (cele kształcenia)</w:t>
      </w:r>
    </w:p>
    <w:tbl>
      <w:tblPr>
        <w:tblW w:w="965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4319D" w:rsidRPr="00E4319D" w14:paraId="4909CF45" w14:textId="77777777" w:rsidTr="00371B02">
        <w:trPr>
          <w:trHeight w:val="1365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CD73A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Student ma podstawową wiedzę z zakresu możliwości i ograniczeń rozwoju w dorosłości na równych jej etapach. Zna podstawy metodyki działań edukacyjnych z dorosłymi, i całe spektrum oddziaływań na środowisko i bezpośrednio na jednostkę wspierających rozwój osobowy, w szczególności z grup zagrożonych marginalizacją społeczną i marginalizowanych. Umie tworzyć sieć wsparcia społecznego w oparciu o partnerstwo lokalne. Jest wrażliwy na problemy społeczne. Zna formy wsparcia indywidualnego oraz grup i społeczności.</w:t>
            </w:r>
          </w:p>
        </w:tc>
      </w:tr>
    </w:tbl>
    <w:p w14:paraId="18616602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6B930954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E4319D">
        <w:rPr>
          <w:rFonts w:ascii="Arial" w:hAnsi="Arial" w:cs="Arial"/>
          <w:kern w:val="3"/>
          <w:sz w:val="20"/>
          <w:szCs w:val="20"/>
        </w:rPr>
        <w:t>Efekty uczenia się</w:t>
      </w:r>
    </w:p>
    <w:tbl>
      <w:tblPr>
        <w:tblW w:w="965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5296"/>
        <w:gridCol w:w="2375"/>
      </w:tblGrid>
      <w:tr w:rsidR="00E4319D" w:rsidRPr="00E4319D" w14:paraId="7310F698" w14:textId="77777777" w:rsidTr="00371B02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9DAF9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234E1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3A550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Odniesienie do efektów dla specjalności</w:t>
            </w:r>
          </w:p>
          <w:p w14:paraId="1E09A523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(określonych w karcie programu studiów dla modułu specjalnościowego)</w:t>
            </w:r>
          </w:p>
        </w:tc>
      </w:tr>
      <w:tr w:rsidR="00E4319D" w:rsidRPr="00E4319D" w14:paraId="0209F3E3" w14:textId="77777777" w:rsidTr="00371B02">
        <w:trPr>
          <w:cantSplit/>
          <w:trHeight w:val="183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11EFA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E3D1B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W01, Ma elementarną wiedzę na temat metodyki kształcenia oraz form wsparcia dorosłych;</w:t>
            </w:r>
          </w:p>
          <w:p w14:paraId="2A9AF805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1629AF09" w14:textId="77777777" w:rsidR="00E4319D" w:rsidRPr="00E4319D" w:rsidRDefault="00E4319D" w:rsidP="00E4319D">
            <w:pPr>
              <w:autoSpaceDE/>
              <w:autoSpaceDN w:val="0"/>
              <w:ind w:left="357" w:hanging="357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W02, Zna modele aktywizacji dorosłych</w:t>
            </w:r>
          </w:p>
          <w:p w14:paraId="582CB03A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W03, Posiada wiedzę z zakresu wymagań rynku pracy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1979B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W01, W02, W03</w:t>
            </w:r>
          </w:p>
          <w:p w14:paraId="31D1FCC9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5FDB7EF0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02A1A7D1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W08</w:t>
            </w:r>
          </w:p>
          <w:p w14:paraId="0EAF9C40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W09</w:t>
            </w:r>
          </w:p>
        </w:tc>
      </w:tr>
    </w:tbl>
    <w:p w14:paraId="52DDEB29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tbl>
      <w:tblPr>
        <w:tblW w:w="965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20"/>
      </w:tblGrid>
      <w:tr w:rsidR="00E4319D" w:rsidRPr="00E4319D" w14:paraId="5FFA0503" w14:textId="77777777" w:rsidTr="00371B02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3575E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B88F6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24112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Odniesienie do efektów dla specjalności</w:t>
            </w:r>
          </w:p>
          <w:p w14:paraId="70574B8B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(określonych w karcie programu studiów dla modułu specjalność)</w:t>
            </w:r>
          </w:p>
        </w:tc>
      </w:tr>
      <w:tr w:rsidR="00E4319D" w:rsidRPr="00E4319D" w14:paraId="24F193B3" w14:textId="77777777" w:rsidTr="00371B02">
        <w:trPr>
          <w:cantSplit/>
          <w:trHeight w:val="1408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F2520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FF8B8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U01, Potrafi działać poszanowaniem drugiego człowieka, z zachowaniem zasad etyki</w:t>
            </w:r>
          </w:p>
          <w:p w14:paraId="1DD5783F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2172D4B7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U02 Potrafi przeprowadzić działania wspierające rozwój dorosłego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7436D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U01,</w:t>
            </w:r>
          </w:p>
          <w:p w14:paraId="27C2895C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6D1C6350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751AEC8B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U03, U04, U06</w:t>
            </w:r>
          </w:p>
        </w:tc>
      </w:tr>
    </w:tbl>
    <w:p w14:paraId="62BBEF99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5EE3BBEA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61ACD919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tbl>
      <w:tblPr>
        <w:tblW w:w="965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20"/>
      </w:tblGrid>
      <w:tr w:rsidR="00E4319D" w:rsidRPr="00E4319D" w14:paraId="27700E2B" w14:textId="77777777" w:rsidTr="00371B02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16CCC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7AA59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EE2CF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Odniesienie do efektów  dla specjalności (określonych w karcie programu studiów dla modułu specjalnościowego)</w:t>
            </w:r>
          </w:p>
        </w:tc>
      </w:tr>
      <w:tr w:rsidR="00E4319D" w:rsidRPr="00E4319D" w14:paraId="382379CF" w14:textId="77777777" w:rsidTr="00371B02">
        <w:trPr>
          <w:cantSplit/>
          <w:trHeight w:val="1687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C61D7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21CE4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K01, Angażuje się w działania wspierające rozwój dorosłego człowieka</w:t>
            </w:r>
          </w:p>
          <w:p w14:paraId="733B41F9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435EE412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K02, Poprawnie, skutecznie i zgodnie z zasadami etyki nawiązuje relacje z dorosłymi jako podmiotami działań edukacyjnych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04EB2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K03, K04</w:t>
            </w:r>
          </w:p>
          <w:p w14:paraId="4BB7D96E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671D37D6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66F3F5A4" w14:textId="77777777" w:rsidR="00E4319D" w:rsidRPr="00E4319D" w:rsidRDefault="00E4319D" w:rsidP="00E4319D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K01, K02</w:t>
            </w:r>
          </w:p>
        </w:tc>
      </w:tr>
    </w:tbl>
    <w:p w14:paraId="4404BCE3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4319D" w:rsidRPr="00E4319D" w14:paraId="18A29A83" w14:textId="77777777" w:rsidTr="00371B02">
        <w:trPr>
          <w:cantSplit/>
          <w:trHeight w:hRule="exact" w:val="424"/>
        </w:trPr>
        <w:tc>
          <w:tcPr>
            <w:tcW w:w="9645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F1D45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ind w:left="45" w:right="13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Organizacja</w:t>
            </w:r>
          </w:p>
        </w:tc>
      </w:tr>
      <w:tr w:rsidR="00E4319D" w:rsidRPr="00E4319D" w14:paraId="70D8EEFC" w14:textId="77777777" w:rsidTr="00371B02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6124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7BD8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Wykład</w:t>
            </w:r>
          </w:p>
          <w:p w14:paraId="26E8D82D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9ED7F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Ćwiczenia w grupach</w:t>
            </w:r>
          </w:p>
        </w:tc>
      </w:tr>
      <w:tr w:rsidR="00E4319D" w:rsidRPr="00E4319D" w14:paraId="40099C14" w14:textId="77777777" w:rsidTr="00371B02">
        <w:trPr>
          <w:cantSplit/>
          <w:trHeight w:val="477"/>
        </w:trPr>
        <w:tc>
          <w:tcPr>
            <w:tcW w:w="161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2F2F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FECE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F11C9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038B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B5D4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40AF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5C08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6C4F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DE86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B3FE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CDBF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F43F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0941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B989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E4319D" w:rsidRPr="00E4319D" w14:paraId="079ACD8E" w14:textId="77777777" w:rsidTr="00371B02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86E7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2B61" w14:textId="44B67F48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1</w:t>
            </w:r>
            <w:r w:rsidR="00CF3F88">
              <w:rPr>
                <w:rFonts w:ascii="Arial" w:hAnsi="Arial" w:cs="Arial"/>
                <w:kern w:val="3"/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DEB72" w14:textId="6704BF6A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1</w:t>
            </w:r>
            <w:r w:rsidR="00CF3F88">
              <w:rPr>
                <w:rFonts w:ascii="Arial" w:hAnsi="Arial" w:cs="Arial"/>
                <w:kern w:val="3"/>
                <w:sz w:val="20"/>
                <w:szCs w:val="20"/>
              </w:rPr>
              <w:t>5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71FE" w14:textId="33A8D606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0799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48C1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FB97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A3C6" w14:textId="0B749A29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E4319D" w:rsidRPr="00E4319D" w14:paraId="3F2C7768" w14:textId="77777777" w:rsidTr="00371B02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8658" w14:textId="22C9CA79" w:rsidR="00E4319D" w:rsidRPr="00E4319D" w:rsidRDefault="00CF3F88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</w:t>
            </w:r>
            <w:r w:rsidR="00E4319D" w:rsidRPr="00E4319D">
              <w:rPr>
                <w:rFonts w:ascii="Arial" w:hAnsi="Arial" w:cs="Arial"/>
                <w:kern w:val="3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BBEE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86AC3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7163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C5CC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03FE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FBCB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7064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27EDAAC6" w14:textId="77777777" w:rsidR="00E4319D" w:rsidRPr="00E4319D" w:rsidRDefault="00E4319D" w:rsidP="00E4319D">
      <w:pPr>
        <w:suppressLineNumber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63BD272C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E4319D">
        <w:rPr>
          <w:rFonts w:ascii="Arial" w:hAnsi="Arial" w:cs="Arial"/>
          <w:kern w:val="3"/>
          <w:sz w:val="20"/>
          <w:szCs w:val="20"/>
        </w:rPr>
        <w:t>Opis metod prowadzenia zajęć</w:t>
      </w:r>
    </w:p>
    <w:tbl>
      <w:tblPr>
        <w:tblW w:w="963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2"/>
      </w:tblGrid>
      <w:tr w:rsidR="00E4319D" w:rsidRPr="00E4319D" w14:paraId="66C3691C" w14:textId="77777777" w:rsidTr="00371B02">
        <w:trPr>
          <w:trHeight w:val="1173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4BA7E" w14:textId="7B45D907" w:rsidR="00E4319D" w:rsidRPr="00E4319D" w:rsidRDefault="00E4319D" w:rsidP="00E4319D">
            <w:pPr>
              <w:suppressLineNumbers/>
              <w:snapToGrid w:val="0"/>
              <w:jc w:val="both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E4319D">
              <w:rPr>
                <w:rFonts w:ascii="Arial" w:hAnsi="Arial" w:cs="Arial"/>
                <w:sz w:val="20"/>
                <w:szCs w:val="20"/>
                <w:lang w:val="x-none"/>
              </w:rPr>
              <w:t>Wykład konwersatoryjny z wykorzystaniem multimediów</w:t>
            </w:r>
            <w:r w:rsidR="00FF6AD0">
              <w:rPr>
                <w:rFonts w:ascii="Arial" w:hAnsi="Arial" w:cs="Arial"/>
                <w:sz w:val="20"/>
                <w:szCs w:val="20"/>
              </w:rPr>
              <w:t>.</w:t>
            </w:r>
            <w:r w:rsidRPr="00E4319D">
              <w:rPr>
                <w:rFonts w:ascii="Arial" w:hAnsi="Arial" w:cs="Arial"/>
                <w:sz w:val="20"/>
                <w:szCs w:val="20"/>
                <w:lang w:val="x-none"/>
              </w:rPr>
              <w:t xml:space="preserve"> Zajęcia audytoryjne z wykorzystaniem literatury oraz praca koncepcyjna z indywidualnymi przypadkami, wykorzystanie metod aktyw</w:t>
            </w:r>
            <w:r w:rsidR="00FF6AD0">
              <w:rPr>
                <w:rFonts w:ascii="Arial" w:hAnsi="Arial" w:cs="Arial"/>
                <w:sz w:val="20"/>
                <w:szCs w:val="20"/>
              </w:rPr>
              <w:t>izujących</w:t>
            </w:r>
            <w:r w:rsidRPr="00E4319D">
              <w:rPr>
                <w:rFonts w:ascii="Arial" w:hAnsi="Arial" w:cs="Arial"/>
                <w:sz w:val="20"/>
                <w:szCs w:val="20"/>
                <w:lang w:val="x-none"/>
              </w:rPr>
              <w:t xml:space="preserve">. W zajęciach konwersatoryjnych udział studentów z wykorzystaniem metody projektów, różne formy dyskusji. Poza tym aktywność studentów koncentruje się na przygotowaniu i przedstawieniu wybranego tematu z zakresu metodyki pracy z </w:t>
            </w:r>
            <w:r w:rsidR="00FF6AD0">
              <w:rPr>
                <w:rFonts w:ascii="Arial" w:hAnsi="Arial" w:cs="Arial"/>
                <w:sz w:val="20"/>
                <w:szCs w:val="20"/>
              </w:rPr>
              <w:t xml:space="preserve">osobami </w:t>
            </w:r>
            <w:r w:rsidRPr="00E4319D">
              <w:rPr>
                <w:rFonts w:ascii="Arial" w:hAnsi="Arial" w:cs="Arial"/>
                <w:sz w:val="20"/>
                <w:szCs w:val="20"/>
                <w:lang w:val="x-none"/>
              </w:rPr>
              <w:t>dorosłym</w:t>
            </w:r>
            <w:r w:rsidR="00FF6AD0">
              <w:rPr>
                <w:rFonts w:ascii="Arial" w:hAnsi="Arial" w:cs="Arial"/>
                <w:sz w:val="20"/>
                <w:szCs w:val="20"/>
              </w:rPr>
              <w:t>i</w:t>
            </w:r>
            <w:r w:rsidRPr="00E4319D">
              <w:rPr>
                <w:rFonts w:ascii="Arial" w:hAnsi="Arial" w:cs="Arial"/>
                <w:sz w:val="20"/>
                <w:szCs w:val="20"/>
                <w:lang w:val="x-none"/>
              </w:rPr>
              <w:t>.</w:t>
            </w:r>
          </w:p>
        </w:tc>
      </w:tr>
    </w:tbl>
    <w:p w14:paraId="71A4423E" w14:textId="77777777" w:rsidR="00E4319D" w:rsidRPr="00E4319D" w:rsidRDefault="00E4319D" w:rsidP="00E4319D">
      <w:pPr>
        <w:suppressLineNumber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458E3404" w14:textId="77777777" w:rsidR="00E4319D" w:rsidRPr="00E4319D" w:rsidRDefault="00E4319D" w:rsidP="00E4319D">
      <w:pPr>
        <w:suppressLineNumber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E4319D">
        <w:rPr>
          <w:rFonts w:ascii="Arial" w:hAnsi="Arial" w:cs="Arial"/>
          <w:kern w:val="3"/>
          <w:sz w:val="20"/>
          <w:szCs w:val="20"/>
        </w:rPr>
        <w:t>Formy sprawdzania efektów uczenia się</w:t>
      </w:r>
    </w:p>
    <w:tbl>
      <w:tblPr>
        <w:tblW w:w="963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E4319D" w:rsidRPr="00E4319D" w14:paraId="1DFA0EB3" w14:textId="77777777" w:rsidTr="00371B02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6214" w14:textId="77777777" w:rsidR="00E4319D" w:rsidRPr="00E4319D" w:rsidRDefault="00E4319D" w:rsidP="00E4319D">
            <w:pPr>
              <w:autoSpaceDN w:val="0"/>
              <w:snapToGrid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974B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 xml:space="preserve">E – 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062A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6501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B8D8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1C5F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438D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64B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B5CA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DAAE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05F2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12B8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F5B6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0AEE" w14:textId="77777777" w:rsidR="00E4319D" w:rsidRPr="00E4319D" w:rsidRDefault="00E4319D" w:rsidP="00E4319D">
            <w:pPr>
              <w:autoSpaceDN w:val="0"/>
              <w:ind w:left="113" w:right="113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Inne</w:t>
            </w:r>
          </w:p>
        </w:tc>
      </w:tr>
      <w:tr w:rsidR="00E4319D" w:rsidRPr="00E4319D" w14:paraId="216A53D1" w14:textId="77777777" w:rsidTr="00371B02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B262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2CC5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733B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8D67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82B5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2EE0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080B" w14:textId="4EE9335D" w:rsidR="00E4319D" w:rsidRPr="00E4319D" w:rsidRDefault="00AD7491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381C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40CC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958B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E19F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485B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C2B9" w14:textId="7AC5A833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E9D5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E4319D" w:rsidRPr="00E4319D" w14:paraId="669DAA3A" w14:textId="77777777" w:rsidTr="00371B0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3EB0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9D89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6210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0317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45D2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7987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33FE" w14:textId="55D2293F" w:rsidR="00E4319D" w:rsidRPr="00E4319D" w:rsidRDefault="00AD7491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6C2A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7FBD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78DC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6BDC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ABE4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22EB" w14:textId="39227A96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6A16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E4319D" w:rsidRPr="00E4319D" w14:paraId="1DEA442F" w14:textId="77777777" w:rsidTr="00371B02">
        <w:trPr>
          <w:cantSplit/>
          <w:trHeight w:val="259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63E9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D09C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F140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F267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1E33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80FE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4A6B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C2EA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4EE4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7065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BE4A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F06E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73BE" w14:textId="134AD6E3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1A50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E4319D" w:rsidRPr="00E4319D" w14:paraId="6BA8A157" w14:textId="77777777" w:rsidTr="00371B02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7FBD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4623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6357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C40A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9FC0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8D13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E35A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B82E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74D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2F9A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FD7C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7662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5CA6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3E58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E4319D" w:rsidRPr="00E4319D" w14:paraId="389E31DA" w14:textId="77777777" w:rsidTr="00371B0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6B9C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13D0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1217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DC31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037D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BB63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8ACC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990A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E1CF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9F7D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375A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79B3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8133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4BB5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AD7491" w:rsidRPr="00E4319D" w14:paraId="7C16557A" w14:textId="77777777" w:rsidTr="00371B0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2FA6" w14:textId="625B5E4F" w:rsidR="00AD7491" w:rsidRPr="00E4319D" w:rsidRDefault="00AD7491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C1AD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09E7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A6BB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162B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5F57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5FC7" w14:textId="77777777" w:rsidR="00AD7491" w:rsidRPr="00E4319D" w:rsidRDefault="00AD7491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2098" w14:textId="77777777" w:rsidR="00AD7491" w:rsidRPr="00E4319D" w:rsidRDefault="00AD7491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561C" w14:textId="7A852B60" w:rsidR="00AD7491" w:rsidRPr="00E4319D" w:rsidRDefault="00AD7491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69C8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F001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21BE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4585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F4CD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E4319D" w:rsidRPr="00E4319D" w14:paraId="1B5D28C7" w14:textId="77777777" w:rsidTr="00371B02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3C88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FA10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E452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F395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7426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8131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EECC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D238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6B1C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F6ED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AF34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0DD7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FAE6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24E5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E4319D" w:rsidRPr="00E4319D" w14:paraId="3152838F" w14:textId="77777777" w:rsidTr="00371B0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2DFC" w14:textId="77777777" w:rsidR="00E4319D" w:rsidRPr="00E4319D" w:rsidRDefault="00E4319D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18A0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AA89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1FA2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9034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C23A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12C6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F864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F297" w14:textId="77777777" w:rsidR="00E4319D" w:rsidRPr="00E4319D" w:rsidRDefault="00E4319D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51AA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B330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F667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AF94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724B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AD7491" w:rsidRPr="00E4319D" w14:paraId="3FF7FB63" w14:textId="77777777" w:rsidTr="00371B0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A8EC" w14:textId="436516B4" w:rsidR="00AD7491" w:rsidRPr="00E4319D" w:rsidRDefault="00AD7491" w:rsidP="00E4319D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298B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A219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6270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35DB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0439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EDAD" w14:textId="77777777" w:rsidR="00AD7491" w:rsidRPr="00E4319D" w:rsidRDefault="00AD7491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E023" w14:textId="1824C625" w:rsidR="00AD7491" w:rsidRPr="00E4319D" w:rsidRDefault="00AD7491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73D5" w14:textId="77777777" w:rsidR="00AD7491" w:rsidRPr="00E4319D" w:rsidRDefault="00AD7491" w:rsidP="00AD7491">
            <w:pPr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9968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FB41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C99A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DC62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615C" w14:textId="77777777" w:rsidR="00AD7491" w:rsidRPr="00E4319D" w:rsidRDefault="00AD7491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458DD665" w14:textId="77777777" w:rsidR="00E4319D" w:rsidRPr="00E4319D" w:rsidRDefault="00E4319D" w:rsidP="00E4319D">
      <w:pPr>
        <w:suppressLineNumber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7704"/>
      </w:tblGrid>
      <w:tr w:rsidR="00E4319D" w:rsidRPr="00E4319D" w14:paraId="6A24B261" w14:textId="77777777" w:rsidTr="00371B02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6CB89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B4EE9" w14:textId="477DD691" w:rsidR="00E4319D" w:rsidRPr="00E4319D" w:rsidRDefault="00CF3F88" w:rsidP="00E4319D">
            <w:pPr>
              <w:suppressLineNumbers/>
              <w:autoSpaceDE/>
              <w:autoSpaceDN w:val="0"/>
              <w:spacing w:before="57" w:after="57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Zajęcia </w:t>
            </w:r>
            <w:r w:rsidR="00462526">
              <w:rPr>
                <w:rFonts w:ascii="Arial" w:hAnsi="Arial" w:cs="Arial"/>
                <w:kern w:val="3"/>
                <w:sz w:val="20"/>
                <w:szCs w:val="20"/>
              </w:rPr>
              <w:t xml:space="preserve">ćwiczeniowe. </w:t>
            </w:r>
            <w:r>
              <w:rPr>
                <w:rFonts w:ascii="Arial" w:hAnsi="Arial" w:cs="Arial"/>
                <w:kern w:val="3"/>
                <w:sz w:val="20"/>
                <w:szCs w:val="20"/>
              </w:rPr>
              <w:t>U</w:t>
            </w:r>
            <w:r w:rsidR="00E4319D" w:rsidRPr="00E4319D">
              <w:rPr>
                <w:rFonts w:ascii="Arial" w:hAnsi="Arial" w:cs="Arial"/>
                <w:kern w:val="3"/>
                <w:sz w:val="20"/>
                <w:szCs w:val="20"/>
              </w:rPr>
              <w:t xml:space="preserve">dział w dyskusji  - zabranie głosu przynajmniej raz podczas dyskusji na temat wparcia rozwoju w dorosłości oraz przedstawienie projektu indywidualnego spełniającego podstawowe kryteria prezentacji podejmowanej na </w:t>
            </w:r>
            <w:r w:rsidR="00E4319D" w:rsidRPr="00E4319D">
              <w:rPr>
                <w:rFonts w:ascii="Arial" w:hAnsi="Arial" w:cs="Arial"/>
                <w:kern w:val="3"/>
                <w:sz w:val="20"/>
                <w:szCs w:val="20"/>
              </w:rPr>
              <w:lastRenderedPageBreak/>
              <w:t>zajęciach problematyki.</w:t>
            </w: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 R</w:t>
            </w:r>
            <w:r w:rsidR="00E4319D" w:rsidRPr="00E4319D">
              <w:rPr>
                <w:rFonts w:ascii="Arial" w:hAnsi="Arial" w:cs="Arial"/>
                <w:kern w:val="3"/>
                <w:sz w:val="20"/>
                <w:szCs w:val="20"/>
              </w:rPr>
              <w:t xml:space="preserve">zetelne wykonanie i przedstawienie grupowego projektu będącego studium przypadku z opisem działań </w:t>
            </w:r>
            <w:proofErr w:type="spellStart"/>
            <w:r w:rsidR="00E4319D" w:rsidRPr="00E4319D">
              <w:rPr>
                <w:rFonts w:ascii="Arial" w:hAnsi="Arial" w:cs="Arial"/>
                <w:kern w:val="3"/>
                <w:sz w:val="20"/>
                <w:szCs w:val="20"/>
              </w:rPr>
              <w:t>andragogicznych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</w:rPr>
              <w:t>.</w:t>
            </w:r>
          </w:p>
          <w:p w14:paraId="45AF1E28" w14:textId="77777777" w:rsidR="00E4319D" w:rsidRPr="00E4319D" w:rsidRDefault="00E4319D" w:rsidP="00E4319D">
            <w:pPr>
              <w:suppressLineNumbers/>
              <w:autoSpaceDE/>
              <w:autoSpaceDN w:val="0"/>
              <w:spacing w:before="57" w:after="57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Wykład – egzamin pisemny na charakter zamknięty i obejmują treści z wykładów oraz literatury obowiązkowej.  Egzamin ma formę testu, uzyskanie 51-60% oznacza uzyskanie otrzymanie oceny dostatecznej, 61-70 – plus dostateczną, 71-80 – dobrą, 81-90 – plus dobrą, 91-100 – bardzo dobrą</w:t>
            </w:r>
          </w:p>
        </w:tc>
      </w:tr>
    </w:tbl>
    <w:p w14:paraId="1CDC28E1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7704"/>
      </w:tblGrid>
      <w:tr w:rsidR="00E4319D" w:rsidRPr="00E4319D" w14:paraId="60D625EC" w14:textId="77777777" w:rsidTr="00371B02">
        <w:trPr>
          <w:trHeight w:val="452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8F9F5" w14:textId="77777777" w:rsidR="00E4319D" w:rsidRPr="00E4319D" w:rsidRDefault="00E4319D" w:rsidP="00E4319D">
            <w:pPr>
              <w:autoSpaceDE/>
              <w:autoSpaceDN w:val="0"/>
              <w:spacing w:after="57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A0B03" w14:textId="77777777" w:rsidR="00E4319D" w:rsidRPr="00E4319D" w:rsidRDefault="00E4319D" w:rsidP="00E4319D">
            <w:pPr>
              <w:suppressLineNumbers/>
              <w:autoSpaceDN w:val="0"/>
              <w:snapToGrid w:val="0"/>
              <w:spacing w:before="57" w:after="57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brak</w:t>
            </w:r>
          </w:p>
          <w:p w14:paraId="4FC55837" w14:textId="77777777" w:rsidR="00E4319D" w:rsidRPr="00E4319D" w:rsidRDefault="00E4319D" w:rsidP="00E4319D">
            <w:pPr>
              <w:suppressLineNumbers/>
              <w:autoSpaceDN w:val="0"/>
              <w:spacing w:before="57" w:after="57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1279B6D0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62670880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E4319D">
        <w:rPr>
          <w:rFonts w:ascii="Arial" w:hAnsi="Arial" w:cs="Arial"/>
          <w:kern w:val="3"/>
          <w:sz w:val="20"/>
          <w:szCs w:val="20"/>
        </w:rPr>
        <w:t xml:space="preserve">Treści merytoryczne </w:t>
      </w:r>
    </w:p>
    <w:tbl>
      <w:tblPr>
        <w:tblW w:w="963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2"/>
      </w:tblGrid>
      <w:tr w:rsidR="00E4319D" w:rsidRPr="00E4319D" w14:paraId="6C719D72" w14:textId="77777777" w:rsidTr="00371B02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E0685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WYKŁADY:</w:t>
            </w:r>
          </w:p>
          <w:p w14:paraId="060CE500" w14:textId="090CB8EF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 xml:space="preserve">Zasady dydaktyki i metody dorosłych. Różnice w uczeniu się dorosłych i dzieci. Formy indywidualnego wsparcia dorosłych. </w:t>
            </w:r>
            <w:r w:rsidR="00B556DB" w:rsidRPr="00E4319D">
              <w:rPr>
                <w:rFonts w:ascii="Arial" w:hAnsi="Arial" w:cs="Arial"/>
                <w:kern w:val="3"/>
                <w:sz w:val="20"/>
                <w:szCs w:val="20"/>
              </w:rPr>
              <w:t xml:space="preserve">Metodyka pracy i modele pracy edukacyjnej z dorosłymi. 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Wsparcie psychologiczne i terapeutyczne, szkoły terapeutyczne, analiza przypadków wsparcia psychologicznego i terapeutycznego dorosłych</w:t>
            </w:r>
          </w:p>
          <w:p w14:paraId="37B9EBD2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Wsparcie społeczne – podstawowe definicje. Kapitał intelektualny, jego składowe. Społeczeństwo obywatelskie. Instytucje, stowarzyszenia i organizacje w społeczeństwie obywatelskim: obszar kultury, oświata dorosłych, stowarzyszenia, organizacje pozarządowe, formy wsparcia, wolontariat. Rozmiar zjawiska. Formy wolontariatu.</w:t>
            </w:r>
          </w:p>
          <w:p w14:paraId="7298A151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Polityka społeczna nurtu interwencyjnego i optymalizującego. Sieć wsparcia społecznego: wsparcie środowiskowe, wsparcie instytucjonalne. Przykładowe propozycje partnerstwa lokalnego - możliwość tworzenia koalicji lokalnej. Przykłady tzw. dobrych praktyk</w:t>
            </w:r>
          </w:p>
          <w:p w14:paraId="64718BF2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Społeczne blokady aktywności i powodzenia jednostek i grup. Zaburzenia w funkcjonowaniu społecznym, przyczyny, przejawy. </w:t>
            </w:r>
            <w:r w:rsidRPr="00E4319D">
              <w:rPr>
                <w:rFonts w:ascii="Arial" w:hAnsi="Arial" w:cs="Arial"/>
                <w:iCs/>
                <w:kern w:val="3"/>
                <w:sz w:val="20"/>
                <w:szCs w:val="20"/>
                <w:lang w:eastAsia="ar-SA"/>
              </w:rPr>
              <w:t>Wybrane kwestie społeczne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 - możliwości wsparcia</w:t>
            </w:r>
          </w:p>
          <w:p w14:paraId="7312B5ED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 Instytucje, narzędzia i programy normalizacji społecznej. Kategorie grup społecznych dotkniętych problemem</w:t>
            </w:r>
          </w:p>
          <w:p w14:paraId="2FDA3E55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Gerontologia edukacyjna - człowiek starszy w ujęciu pedagogiki. Teoria aktywności czy „bujanego fotela”? Wsparcie osób starych</w:t>
            </w:r>
          </w:p>
          <w:p w14:paraId="629618D2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ar-SA"/>
              </w:rPr>
            </w:pPr>
          </w:p>
          <w:p w14:paraId="3343173E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Ćwiczenia</w:t>
            </w:r>
          </w:p>
          <w:p w14:paraId="2FDF6F08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Formy aktywności osób dorosłych. Dane statystyczne dotyczące aktywności obywatelskiej - omówienie, wnioski i implikacje</w:t>
            </w:r>
          </w:p>
          <w:p w14:paraId="29B340A7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Polityka kulturalna, praca kulturalno-oświatowa, uczestnictwo w kulturze – rozmiar zjawiska. Aktywność społeczna i kulturalna środkiem na pasywność społeczną jednostek i grup społecznych</w:t>
            </w:r>
          </w:p>
          <w:p w14:paraId="5CC409BA" w14:textId="4F41EFFA" w:rsidR="00E4319D" w:rsidRPr="00E4319D" w:rsidRDefault="00E4319D" w:rsidP="00E4319D">
            <w:pPr>
              <w:autoSpaceDE/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Wychowanie do starości, kadry gerontologiczne, uniwersytet trzeciego wieku, klub seniora, kursy dla @seniorów, organizacje seniorskie i </w:t>
            </w:r>
            <w:proofErr w:type="spellStart"/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prosenioralne</w:t>
            </w:r>
            <w:proofErr w:type="spellEnd"/>
            <w:r w:rsidR="00B556DB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.</w:t>
            </w:r>
          </w:p>
          <w:p w14:paraId="67B61436" w14:textId="77777777" w:rsidR="00E4319D" w:rsidRPr="00E4319D" w:rsidRDefault="00E4319D" w:rsidP="00E4319D">
            <w:pPr>
              <w:autoSpaceDE/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Przykłady dobrych praktyk, jako propozycje aktywizowania osób dorosłych. Omówienie dwóch zagadnień spośród:</w:t>
            </w:r>
          </w:p>
          <w:p w14:paraId="4F324E2F" w14:textId="77777777" w:rsidR="00E4319D" w:rsidRPr="00E4319D" w:rsidRDefault="00E4319D" w:rsidP="00E4319D">
            <w:pPr>
              <w:widowControl/>
              <w:suppressAutoHyphens w:val="0"/>
              <w:autoSpaceDE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1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inicjatywy i projekty społeczne, kulturalno-oświatowe na szczeblu lokalnym, mapa aktywności w środowisku lokalnym</w:t>
            </w:r>
          </w:p>
          <w:p w14:paraId="57EE307F" w14:textId="77777777" w:rsidR="00E4319D" w:rsidRPr="00E4319D" w:rsidRDefault="00E4319D" w:rsidP="00E4319D">
            <w:pPr>
              <w:widowControl/>
              <w:suppressAutoHyphens w:val="0"/>
              <w:autoSpaceDE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1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ruch społeczny (organizacja, stowarzyszenie, fundacja, sektor pozarządowy, wolontariat) w realizacji potrzeb społecznych</w:t>
            </w:r>
          </w:p>
          <w:p w14:paraId="67C766A7" w14:textId="77777777" w:rsidR="00E4319D" w:rsidRPr="00E4319D" w:rsidRDefault="00E4319D" w:rsidP="00E4319D">
            <w:pPr>
              <w:widowControl/>
              <w:suppressAutoHyphens w:val="0"/>
              <w:autoSpaceDE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1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opieka postpenitencjarna – reintegracja społeczna  i readaptacja zawodowa</w:t>
            </w:r>
          </w:p>
          <w:p w14:paraId="67BA11CC" w14:textId="77777777" w:rsidR="00E4319D" w:rsidRPr="00E4319D" w:rsidRDefault="00E4319D" w:rsidP="00E4319D">
            <w:pPr>
              <w:widowControl/>
              <w:suppressAutoHyphens w:val="0"/>
              <w:autoSpaceDE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1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działania skierowane na repatriantów, imigrantów itp. – asymilacja kulturowa, repolonizacja</w:t>
            </w:r>
          </w:p>
          <w:p w14:paraId="6849A5FC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- analiza dokonań wybranych laureatów pokojowej Nagrody Nobla lub innych działaczy </w:t>
            </w:r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  <w:lang w:eastAsia="ar-SA"/>
              </w:rPr>
              <w:t xml:space="preserve">pro </w:t>
            </w:r>
            <w:proofErr w:type="spellStart"/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  <w:lang w:eastAsia="ar-SA"/>
              </w:rPr>
              <w:t>publico</w:t>
            </w:r>
            <w:proofErr w:type="spellEnd"/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  <w:lang w:eastAsia="ar-SA"/>
              </w:rPr>
              <w:t xml:space="preserve"> bono, 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na rzecz poprawy jakości życia</w:t>
            </w:r>
          </w:p>
        </w:tc>
      </w:tr>
    </w:tbl>
    <w:p w14:paraId="5DB203A4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114293B5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E4319D">
        <w:rPr>
          <w:rFonts w:ascii="Arial" w:hAnsi="Arial" w:cs="Arial"/>
          <w:kern w:val="3"/>
          <w:sz w:val="20"/>
          <w:szCs w:val="20"/>
        </w:rPr>
        <w:t>Wykaz literatury podstawowej</w:t>
      </w:r>
    </w:p>
    <w:tbl>
      <w:tblPr>
        <w:tblW w:w="963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2"/>
      </w:tblGrid>
      <w:tr w:rsidR="00E4319D" w:rsidRPr="00E4319D" w14:paraId="62864563" w14:textId="77777777" w:rsidTr="00371B02">
        <w:trPr>
          <w:trHeight w:val="109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93429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i/>
                <w:kern w:val="3"/>
                <w:sz w:val="20"/>
                <w:szCs w:val="20"/>
              </w:rPr>
            </w:pPr>
            <w:proofErr w:type="spellStart"/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</w:rPr>
              <w:t>Knowles</w:t>
            </w:r>
            <w:proofErr w:type="spellEnd"/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</w:rPr>
              <w:t xml:space="preserve"> M., </w:t>
            </w:r>
            <w:proofErr w:type="spellStart"/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</w:rPr>
              <w:t>Holton</w:t>
            </w:r>
            <w:proofErr w:type="spellEnd"/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</w:rPr>
              <w:t xml:space="preserve"> E.F., Swanson R., Edukacja dorosłych, podręcznik akademicki, Warszawa 2009</w:t>
            </w:r>
          </w:p>
          <w:p w14:paraId="41C2E595" w14:textId="77777777" w:rsidR="00E4319D" w:rsidRPr="00E4319D" w:rsidRDefault="00E4319D" w:rsidP="00E4319D">
            <w:pPr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</w:rPr>
              <w:t xml:space="preserve">Człowiek w obliczu wykluczenia i marginalizacji społecznej, 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</w:rPr>
              <w:t>Białobrzeska K., Kawula S. (red.), Toruń 2006.</w:t>
            </w:r>
          </w:p>
          <w:p w14:paraId="6CEE530D" w14:textId="77777777" w:rsidR="00E4319D" w:rsidRPr="00E4319D" w:rsidRDefault="00E4319D" w:rsidP="00E4319D">
            <w:pPr>
              <w:widowControl/>
              <w:tabs>
                <w:tab w:val="left" w:pos="947"/>
              </w:tabs>
              <w:suppressAutoHyphens w:val="0"/>
              <w:autoSpaceDE/>
              <w:autoSpaceDN w:val="0"/>
              <w:spacing w:line="276" w:lineRule="auto"/>
              <w:ind w:left="238" w:hanging="238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r w:rsidRPr="00E4319D">
              <w:rPr>
                <w:rFonts w:ascii="Arial" w:eastAsia="Calibri" w:hAnsi="Arial" w:cs="Arial"/>
                <w:i/>
                <w:kern w:val="3"/>
                <w:sz w:val="20"/>
                <w:szCs w:val="20"/>
                <w:lang w:eastAsia="zh-CN"/>
              </w:rPr>
              <w:t xml:space="preserve">Edukacja społeczna wobec problemów współczesnego człowieka i społeczeństwa, </w:t>
            </w:r>
            <w:r w:rsidRPr="00E4319D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 xml:space="preserve">J. Piekarski, T. Pilch, W. </w:t>
            </w:r>
            <w:proofErr w:type="spellStart"/>
            <w:r w:rsidRPr="00E4319D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Theiss</w:t>
            </w:r>
            <w:proofErr w:type="spellEnd"/>
            <w:r w:rsidRPr="00E4319D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, D. Urbaniak-Zając (red.), Łódź 2010.</w:t>
            </w:r>
          </w:p>
          <w:p w14:paraId="0DF51655" w14:textId="77777777" w:rsidR="00E4319D" w:rsidRPr="00E4319D" w:rsidRDefault="00E4319D" w:rsidP="00E4319D">
            <w:pPr>
              <w:widowControl/>
              <w:tabs>
                <w:tab w:val="left" w:pos="947"/>
              </w:tabs>
              <w:suppressAutoHyphens w:val="0"/>
              <w:autoSpaceDE/>
              <w:autoSpaceDN w:val="0"/>
              <w:spacing w:line="276" w:lineRule="auto"/>
              <w:ind w:left="238" w:hanging="238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proofErr w:type="spellStart"/>
            <w:r w:rsidRPr="00E4319D">
              <w:rPr>
                <w:rFonts w:ascii="Arial" w:eastAsia="Calibri" w:hAnsi="Arial" w:cs="Arial"/>
                <w:iCs/>
                <w:kern w:val="3"/>
                <w:sz w:val="20"/>
                <w:szCs w:val="20"/>
                <w:lang w:eastAsia="zh-CN"/>
              </w:rPr>
              <w:t>Marynowicz</w:t>
            </w:r>
            <w:proofErr w:type="spellEnd"/>
            <w:r w:rsidRPr="00E4319D">
              <w:rPr>
                <w:rFonts w:ascii="Arial" w:eastAsia="Calibri" w:hAnsi="Arial" w:cs="Arial"/>
                <w:iCs/>
                <w:kern w:val="3"/>
                <w:sz w:val="20"/>
                <w:szCs w:val="20"/>
                <w:lang w:eastAsia="zh-CN"/>
              </w:rPr>
              <w:t xml:space="preserve">-Hetka E. (red.), </w:t>
            </w:r>
            <w:r w:rsidRPr="00E4319D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lang w:eastAsia="zh-CN"/>
              </w:rPr>
              <w:t>Pedagogika społeczna</w:t>
            </w:r>
            <w:r w:rsidRPr="00E4319D">
              <w:rPr>
                <w:rFonts w:ascii="Arial" w:eastAsia="Calibri" w:hAnsi="Arial" w:cs="Arial"/>
                <w:iCs/>
                <w:kern w:val="3"/>
                <w:sz w:val="20"/>
                <w:szCs w:val="20"/>
                <w:lang w:eastAsia="zh-CN"/>
              </w:rPr>
              <w:t>, t. 1, Warszawa 2006; t. 2, Warszawa 2007.</w:t>
            </w:r>
          </w:p>
          <w:p w14:paraId="0B0BE614" w14:textId="2CE46CB1" w:rsidR="00E4319D" w:rsidRPr="00881BDC" w:rsidRDefault="00E4319D" w:rsidP="00881BDC">
            <w:pPr>
              <w:widowControl/>
              <w:tabs>
                <w:tab w:val="left" w:pos="947"/>
              </w:tabs>
              <w:suppressAutoHyphens w:val="0"/>
              <w:autoSpaceDE/>
              <w:autoSpaceDN w:val="0"/>
              <w:spacing w:line="276" w:lineRule="auto"/>
              <w:ind w:left="238" w:hanging="238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r w:rsidRPr="00E4319D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 xml:space="preserve">Radziewicz Winnicki A., </w:t>
            </w:r>
            <w:r w:rsidRPr="00E4319D">
              <w:rPr>
                <w:rFonts w:ascii="Arial" w:eastAsia="Calibri" w:hAnsi="Arial" w:cs="Arial"/>
                <w:i/>
                <w:kern w:val="3"/>
                <w:sz w:val="20"/>
                <w:szCs w:val="20"/>
                <w:lang w:eastAsia="zh-CN"/>
              </w:rPr>
              <w:t>Pedagogika społeczna w obliczu realiów codzienności</w:t>
            </w:r>
            <w:r w:rsidRPr="00E4319D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, Warszawa 2008.</w:t>
            </w:r>
          </w:p>
        </w:tc>
      </w:tr>
    </w:tbl>
    <w:p w14:paraId="5420C2AD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07D94D47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36765BE2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75AFC4B1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7319A119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39464461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E4319D">
        <w:rPr>
          <w:rFonts w:ascii="Arial" w:hAnsi="Arial" w:cs="Arial"/>
          <w:kern w:val="3"/>
          <w:sz w:val="20"/>
          <w:szCs w:val="20"/>
        </w:rPr>
        <w:t>Wykaz literatury uzupełniającej</w:t>
      </w:r>
    </w:p>
    <w:tbl>
      <w:tblPr>
        <w:tblW w:w="963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2"/>
      </w:tblGrid>
      <w:tr w:rsidR="00E4319D" w:rsidRPr="00AD7491" w14:paraId="3C83267A" w14:textId="77777777" w:rsidTr="00371B02">
        <w:trPr>
          <w:trHeight w:val="1112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A5341" w14:textId="2B12074A" w:rsid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  <w:lang w:eastAsia="ar-SA"/>
              </w:rPr>
              <w:t>Aktywizacja kulturalno-oświatowa i społeczno-gospodarcza środowisk lokalnych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, J. Bomba, J. Hampel (red.), Siedlce 2009.</w:t>
            </w:r>
          </w:p>
          <w:p w14:paraId="6828DB4E" w14:textId="10D46552" w:rsidR="00881BDC" w:rsidRPr="00AD7491" w:rsidRDefault="00881BDC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val="en-US" w:eastAsia="ar-SA"/>
              </w:rPr>
            </w:pPr>
            <w:r w:rsidRPr="00881BDC">
              <w:rPr>
                <w:rFonts w:ascii="Arial" w:hAnsi="Arial" w:cs="Arial"/>
                <w:i/>
                <w:iCs/>
                <w:kern w:val="3"/>
                <w:sz w:val="20"/>
                <w:szCs w:val="20"/>
                <w:lang w:eastAsia="ar-SA"/>
              </w:rPr>
              <w:t xml:space="preserve">Znaczenie pomocy i wsparcia społecznego organizacji pozarządowych dla społeczności lokalnej w Ugandzie. </w:t>
            </w:r>
            <w:proofErr w:type="spellStart"/>
            <w:r w:rsidRPr="00AD7491">
              <w:rPr>
                <w:rFonts w:ascii="Arial" w:hAnsi="Arial" w:cs="Arial"/>
                <w:i/>
                <w:iCs/>
                <w:kern w:val="3"/>
                <w:sz w:val="20"/>
                <w:szCs w:val="20"/>
                <w:lang w:val="en-US" w:eastAsia="ar-SA"/>
              </w:rPr>
              <w:t>Studium</w:t>
            </w:r>
            <w:proofErr w:type="spellEnd"/>
            <w:r w:rsidRPr="00AD7491">
              <w:rPr>
                <w:rFonts w:ascii="Arial" w:hAnsi="Arial" w:cs="Arial"/>
                <w:i/>
                <w:iCs/>
                <w:kern w:val="3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D7491">
              <w:rPr>
                <w:rFonts w:ascii="Arial" w:hAnsi="Arial" w:cs="Arial"/>
                <w:i/>
                <w:iCs/>
                <w:kern w:val="3"/>
                <w:sz w:val="20"/>
                <w:szCs w:val="20"/>
                <w:lang w:val="en-US" w:eastAsia="ar-SA"/>
              </w:rPr>
              <w:t>etnopedagogiczne</w:t>
            </w:r>
            <w:proofErr w:type="spellEnd"/>
            <w:r w:rsidRPr="00AD7491">
              <w:rPr>
                <w:rFonts w:ascii="Arial" w:hAnsi="Arial" w:cs="Arial"/>
                <w:kern w:val="3"/>
                <w:sz w:val="20"/>
                <w:szCs w:val="20"/>
                <w:lang w:val="en-US" w:eastAsia="ar-SA"/>
              </w:rPr>
              <w:t>, A. Kawula, Kraków 2022</w:t>
            </w:r>
          </w:p>
          <w:p w14:paraId="0A776815" w14:textId="59C96FC8" w:rsidR="00FF6AD0" w:rsidRPr="00FF6AD0" w:rsidRDefault="00FF6AD0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proofErr w:type="spellStart"/>
            <w:r w:rsidRPr="00FF6A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Kanabrocka</w:t>
            </w:r>
            <w:proofErr w:type="spellEnd"/>
            <w:r w:rsidRPr="00FF6A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A., Connectivism. Implications for andragogical activities during professional gatherings, “Studia </w:t>
            </w:r>
            <w:proofErr w:type="spellStart"/>
            <w:r w:rsidRPr="00FF6A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Pedagogiczne</w:t>
            </w:r>
            <w:proofErr w:type="spellEnd"/>
            <w:r w:rsidRPr="00FF6A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FF6A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Problemy Społeczne, Edukacyjne i Artystyczne” 2020, tom 35.</w:t>
            </w:r>
          </w:p>
          <w:p w14:paraId="79B41159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Matlakiewicz A., </w:t>
            </w:r>
            <w:proofErr w:type="spellStart"/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Solarczyk-Szwec</w:t>
            </w:r>
            <w:proofErr w:type="spellEnd"/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 H., </w:t>
            </w:r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  <w:lang w:eastAsia="ar-SA"/>
              </w:rPr>
              <w:t>Dorośli uczą się inaczej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, Toruń 2009</w:t>
            </w:r>
          </w:p>
          <w:p w14:paraId="5635C031" w14:textId="671AF921" w:rsidR="00FF6AD0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  <w:lang w:eastAsia="ar-SA"/>
              </w:rPr>
              <w:t>Skazani na wykluczenie!?,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 M.</w:t>
            </w:r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  <w:lang w:eastAsia="ar-SA"/>
              </w:rPr>
              <w:t xml:space="preserve"> 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Kalinowski, I. Niewiadomska (red.), Lublin 2010</w:t>
            </w:r>
          </w:p>
          <w:p w14:paraId="34823A1E" w14:textId="47FCBF84" w:rsid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eastAsia="WarnockPro-Bold" w:hAnsi="Arial" w:cs="Arial"/>
                <w:i/>
                <w:kern w:val="3"/>
                <w:sz w:val="20"/>
                <w:szCs w:val="20"/>
                <w:lang w:eastAsia="en-US"/>
              </w:rPr>
              <w:t xml:space="preserve">Aktywizacja, rozwój, integracja – ku niezależnej starości, </w:t>
            </w:r>
            <w:r w:rsidRPr="00E4319D">
              <w:rPr>
                <w:rFonts w:ascii="Arial" w:eastAsia="WarnockPro-Bold" w:hAnsi="Arial" w:cs="Arial"/>
                <w:kern w:val="3"/>
                <w:sz w:val="20"/>
                <w:szCs w:val="20"/>
                <w:lang w:eastAsia="en-US"/>
              </w:rPr>
              <w:t xml:space="preserve">Z. </w:t>
            </w:r>
            <w:r w:rsidRPr="00E4319D">
              <w:rPr>
                <w:rFonts w:ascii="Arial" w:eastAsia="WarnockPro-Bold" w:hAnsi="Arial" w:cs="Arial"/>
                <w:kern w:val="3"/>
                <w:sz w:val="20"/>
                <w:szCs w:val="20"/>
                <w:lang w:eastAsia="ar-SA"/>
              </w:rPr>
              <w:t>Szarota (red.),</w:t>
            </w:r>
            <w:r w:rsidRPr="00E4319D">
              <w:rPr>
                <w:rFonts w:ascii="Arial" w:eastAsia="WarnockPro-Bold" w:hAnsi="Arial" w:cs="Arial"/>
                <w:b/>
                <w:i/>
                <w:kern w:val="3"/>
                <w:sz w:val="20"/>
                <w:szCs w:val="20"/>
                <w:lang w:eastAsia="ar-SA"/>
              </w:rPr>
              <w:t xml:space="preserve"> </w:t>
            </w:r>
            <w:r w:rsidRPr="00E4319D">
              <w:rPr>
                <w:rFonts w:ascii="Arial" w:eastAsia="WarnockPro-Regular" w:hAnsi="Arial" w:cs="Arial"/>
                <w:kern w:val="3"/>
                <w:sz w:val="20"/>
                <w:szCs w:val="20"/>
                <w:lang w:eastAsia="en-US"/>
              </w:rPr>
              <w:t xml:space="preserve">Biblioteka Gerontologii Społecznej, tom II, 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Kraków 2011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en-US"/>
              </w:rPr>
              <w:t xml:space="preserve">. </w:t>
            </w:r>
          </w:p>
          <w:p w14:paraId="247B95AB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Czasopisma:</w:t>
            </w:r>
          </w:p>
          <w:p w14:paraId="3429804A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„</w:t>
            </w:r>
            <w:proofErr w:type="spellStart"/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Auxillium</w:t>
            </w:r>
            <w:proofErr w:type="spellEnd"/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Sociale</w:t>
            </w:r>
            <w:proofErr w:type="spellEnd"/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 Wsparcie społeczne”</w:t>
            </w:r>
          </w:p>
          <w:p w14:paraId="372B6615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„</w:t>
            </w:r>
            <w:proofErr w:type="spellStart"/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Chowanna</w:t>
            </w:r>
            <w:proofErr w:type="spellEnd"/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”, 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u w:val="single"/>
                <w:lang w:eastAsia="ar-SA"/>
              </w:rPr>
              <w:t>http://www.chowanna.us.edu.pl/</w:t>
            </w:r>
          </w:p>
          <w:p w14:paraId="16F80D3F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„Edukacja Dorosłych”;</w:t>
            </w:r>
          </w:p>
          <w:p w14:paraId="4520E6A7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 „Pedagogika Społeczna”</w:t>
            </w:r>
          </w:p>
          <w:p w14:paraId="1A3D7A6C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„Polityka Społeczna”</w:t>
            </w:r>
          </w:p>
          <w:p w14:paraId="438E4E56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„Praca i Zabezpieczenie Społeczne”</w:t>
            </w:r>
          </w:p>
          <w:p w14:paraId="45600F8F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„Praca Socjalna”</w:t>
            </w:r>
          </w:p>
          <w:p w14:paraId="1141C462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„Problemy Polityki Społecznej Studia i Dyskusje”</w:t>
            </w:r>
          </w:p>
          <w:p w14:paraId="23179881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Źródła internetowe</w:t>
            </w:r>
          </w:p>
          <w:p w14:paraId="5B42497B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EUROSTAT - </w:t>
            </w:r>
            <w:hyperlink r:id="rId4" w:history="1">
              <w:r w:rsidRPr="00E4319D">
                <w:rPr>
                  <w:rFonts w:ascii="Arial" w:hAnsi="Arial" w:cs="Arial"/>
                  <w:kern w:val="3"/>
                  <w:sz w:val="20"/>
                  <w:szCs w:val="20"/>
                  <w:lang w:eastAsia="ar-SA"/>
                </w:rPr>
                <w:t>http://epp.eurostat.ec.europa.eu/</w:t>
              </w:r>
            </w:hyperlink>
          </w:p>
          <w:p w14:paraId="1909CB81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  <w:lang w:eastAsia="ar-SA"/>
              </w:rPr>
              <w:t>Kapitał Intelektualny Polski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, Zespół Doradców Strategicznych Prezesa Rady Ministrów, Warszawa, 10 lipca 2008, online: http://www.innowacyjnosc.gpw.pl/</w:t>
            </w:r>
          </w:p>
          <w:p w14:paraId="27D0C2D8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  <w:lang w:eastAsia="ar-SA"/>
              </w:rPr>
              <w:t>Kultura w 2010 r.</w:t>
            </w: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, GUS, Warszawa 2011, online: </w:t>
            </w:r>
            <w:hyperlink r:id="rId5" w:history="1">
              <w:r w:rsidRPr="00E4319D">
                <w:rPr>
                  <w:rFonts w:ascii="Arial" w:hAnsi="Arial" w:cs="Arial"/>
                  <w:kern w:val="3"/>
                  <w:sz w:val="20"/>
                  <w:szCs w:val="20"/>
                  <w:lang w:eastAsia="ar-SA"/>
                </w:rPr>
                <w:t>www.stat.gov.pl</w:t>
              </w:r>
            </w:hyperlink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 (zakładka Publikacje)</w:t>
            </w:r>
          </w:p>
          <w:p w14:paraId="0ECFAE0A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portal organizacji pozarządowych - </w:t>
            </w:r>
            <w:hyperlink r:id="rId6" w:history="1">
              <w:r w:rsidRPr="00E4319D">
                <w:rPr>
                  <w:rFonts w:ascii="Arial" w:hAnsi="Arial" w:cs="Arial"/>
                  <w:kern w:val="3"/>
                  <w:sz w:val="20"/>
                  <w:szCs w:val="20"/>
                  <w:lang w:eastAsia="ar-SA"/>
                </w:rPr>
                <w:t>www.ngo.pl</w:t>
              </w:r>
            </w:hyperlink>
          </w:p>
          <w:p w14:paraId="505479BE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Akademia Rozwoju Filantropii w Polsce - </w:t>
            </w:r>
            <w:hyperlink r:id="rId7" w:history="1">
              <w:r w:rsidRPr="00E4319D">
                <w:rPr>
                  <w:rFonts w:ascii="Arial" w:hAnsi="Arial" w:cs="Arial"/>
                  <w:kern w:val="3"/>
                  <w:sz w:val="20"/>
                  <w:szCs w:val="20"/>
                  <w:lang w:eastAsia="ar-SA"/>
                </w:rPr>
                <w:t>http://www.filantropia.org.pl/</w:t>
              </w:r>
            </w:hyperlink>
          </w:p>
          <w:p w14:paraId="53CF4C22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 xml:space="preserve">Portal </w:t>
            </w:r>
            <w:r w:rsidRPr="00E4319D">
              <w:rPr>
                <w:rFonts w:ascii="Arial" w:hAnsi="Arial" w:cs="Arial"/>
                <w:i/>
                <w:kern w:val="3"/>
                <w:sz w:val="20"/>
                <w:szCs w:val="20"/>
                <w:lang w:eastAsia="ar-SA"/>
              </w:rPr>
              <w:t>niepelnosprawni.pl</w:t>
            </w:r>
          </w:p>
          <w:p w14:paraId="52A89396" w14:textId="77777777" w:rsidR="00E4319D" w:rsidRPr="00E4319D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Raporty CBOS, GUS</w:t>
            </w:r>
          </w:p>
          <w:p w14:paraId="2832B62A" w14:textId="77777777" w:rsidR="00E4319D" w:rsidRPr="008A3D1B" w:rsidRDefault="00E4319D" w:rsidP="00E4319D">
            <w:pPr>
              <w:autoSpaceDE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val="en-US"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val="en-US" w:eastAsia="ar-SA"/>
              </w:rPr>
              <w:t xml:space="preserve">Portal </w:t>
            </w:r>
            <w:hyperlink r:id="rId8" w:history="1">
              <w:r w:rsidRPr="00E4319D">
                <w:rPr>
                  <w:rFonts w:ascii="Arial" w:hAnsi="Arial" w:cs="Arial"/>
                  <w:color w:val="0000FF"/>
                  <w:kern w:val="3"/>
                  <w:sz w:val="20"/>
                  <w:szCs w:val="20"/>
                  <w:u w:val="single"/>
                  <w:lang w:val="en-US" w:eastAsia="ar-SA"/>
                </w:rPr>
                <w:t>http://www.siecrownosci.gov.pl/</w:t>
              </w:r>
            </w:hyperlink>
          </w:p>
        </w:tc>
      </w:tr>
    </w:tbl>
    <w:p w14:paraId="0E67D929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  <w:lang w:val="en-US"/>
        </w:rPr>
      </w:pPr>
    </w:p>
    <w:p w14:paraId="4102AE45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E4319D">
        <w:rPr>
          <w:rFonts w:ascii="Arial" w:hAnsi="Arial" w:cs="Arial"/>
          <w:kern w:val="3"/>
          <w:sz w:val="20"/>
          <w:szCs w:val="20"/>
        </w:rPr>
        <w:t>Bilans godzinowy zgodny z CNPS (Całkowity Nakład Pracy Studenta)</w:t>
      </w:r>
    </w:p>
    <w:tbl>
      <w:tblPr>
        <w:tblW w:w="959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6"/>
        <w:gridCol w:w="5750"/>
        <w:gridCol w:w="1076"/>
      </w:tblGrid>
      <w:tr w:rsidR="00E4319D" w:rsidRPr="00E4319D" w14:paraId="5A2F2AAF" w14:textId="77777777" w:rsidTr="00371B02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65A2" w14:textId="77777777" w:rsidR="00E4319D" w:rsidRPr="00E4319D" w:rsidRDefault="00E4319D" w:rsidP="00E4319D">
            <w:pPr>
              <w:autoSpaceDE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C627" w14:textId="77777777" w:rsidR="00E4319D" w:rsidRPr="00E4319D" w:rsidRDefault="00E4319D" w:rsidP="00E4319D">
            <w:pPr>
              <w:autoSpaceDE/>
              <w:autoSpaceDN w:val="0"/>
              <w:ind w:left="3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98E4" w14:textId="71EE9D34" w:rsidR="00E4319D" w:rsidRPr="00E4319D" w:rsidRDefault="00E4319D" w:rsidP="00E4319D">
            <w:pPr>
              <w:autoSpaceDE/>
              <w:autoSpaceDN w:val="0"/>
              <w:snapToGrid w:val="0"/>
              <w:ind w:left="36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1</w:t>
            </w:r>
            <w:r w:rsidR="008A3D1B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5</w:t>
            </w:r>
          </w:p>
        </w:tc>
      </w:tr>
      <w:tr w:rsidR="00E4319D" w:rsidRPr="00E4319D" w14:paraId="7E63BABE" w14:textId="77777777" w:rsidTr="00371B02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5CD4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2860" w14:textId="77777777" w:rsidR="00E4319D" w:rsidRPr="00E4319D" w:rsidRDefault="00E4319D" w:rsidP="00E4319D">
            <w:pPr>
              <w:autoSpaceDE/>
              <w:autoSpaceDN w:val="0"/>
              <w:ind w:left="3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D246" w14:textId="13B85271" w:rsidR="00E4319D" w:rsidRPr="00E4319D" w:rsidRDefault="008A3D1B" w:rsidP="00E4319D">
            <w:pPr>
              <w:autoSpaceDE/>
              <w:autoSpaceDN w:val="0"/>
              <w:snapToGrid w:val="0"/>
              <w:ind w:left="36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15</w:t>
            </w:r>
          </w:p>
        </w:tc>
      </w:tr>
      <w:tr w:rsidR="00E4319D" w:rsidRPr="00E4319D" w14:paraId="67DE7E94" w14:textId="77777777" w:rsidTr="00371B02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F9D7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9FD2" w14:textId="77777777" w:rsidR="00E4319D" w:rsidRPr="00E4319D" w:rsidRDefault="00E4319D" w:rsidP="00E4319D">
            <w:pPr>
              <w:autoSpaceDE/>
              <w:autoSpaceDN w:val="0"/>
              <w:ind w:left="3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18A7" w14:textId="77777777" w:rsidR="00E4319D" w:rsidRPr="00E4319D" w:rsidRDefault="00E4319D" w:rsidP="00E4319D">
            <w:pPr>
              <w:autoSpaceDE/>
              <w:autoSpaceDN w:val="0"/>
              <w:snapToGrid w:val="0"/>
              <w:ind w:left="36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10</w:t>
            </w:r>
          </w:p>
        </w:tc>
      </w:tr>
      <w:tr w:rsidR="00E4319D" w:rsidRPr="00E4319D" w14:paraId="0848092A" w14:textId="77777777" w:rsidTr="00371B02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F1A5" w14:textId="77777777" w:rsidR="00E4319D" w:rsidRPr="00E4319D" w:rsidRDefault="00E4319D" w:rsidP="00E4319D">
            <w:pPr>
              <w:autoSpaceDE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26C7" w14:textId="77777777" w:rsidR="00E4319D" w:rsidRPr="00E4319D" w:rsidRDefault="00E4319D" w:rsidP="00E4319D">
            <w:pPr>
              <w:autoSpaceDE/>
              <w:autoSpaceDN w:val="0"/>
              <w:ind w:left="3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5FFC" w14:textId="77777777" w:rsidR="00E4319D" w:rsidRPr="00E4319D" w:rsidRDefault="00E4319D" w:rsidP="00E4319D">
            <w:pPr>
              <w:autoSpaceDE/>
              <w:autoSpaceDN w:val="0"/>
              <w:snapToGrid w:val="0"/>
              <w:ind w:left="36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10</w:t>
            </w:r>
          </w:p>
        </w:tc>
      </w:tr>
      <w:tr w:rsidR="00E4319D" w:rsidRPr="00E4319D" w14:paraId="5BDDF662" w14:textId="77777777" w:rsidTr="00371B02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46BB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4FCC" w14:textId="77777777" w:rsidR="00E4319D" w:rsidRPr="00E4319D" w:rsidRDefault="00E4319D" w:rsidP="00E4319D">
            <w:pPr>
              <w:autoSpaceDE/>
              <w:autoSpaceDN w:val="0"/>
              <w:ind w:left="3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Przygotowanie krótkiej pracy pisemnej lub referatu, projektu indywidualnego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131B" w14:textId="77777777" w:rsidR="00E4319D" w:rsidRPr="00E4319D" w:rsidRDefault="00E4319D" w:rsidP="00E4319D">
            <w:pPr>
              <w:autoSpaceDE/>
              <w:autoSpaceDN w:val="0"/>
              <w:snapToGrid w:val="0"/>
              <w:ind w:left="36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10</w:t>
            </w:r>
          </w:p>
        </w:tc>
      </w:tr>
      <w:tr w:rsidR="00E4319D" w:rsidRPr="00E4319D" w14:paraId="4179847E" w14:textId="77777777" w:rsidTr="00371B02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E5F1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2E50" w14:textId="77777777" w:rsidR="00E4319D" w:rsidRPr="00E4319D" w:rsidRDefault="00E4319D" w:rsidP="00E4319D">
            <w:pPr>
              <w:autoSpaceDE/>
              <w:autoSpaceDN w:val="0"/>
              <w:ind w:left="3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6BF0" w14:textId="77777777" w:rsidR="00E4319D" w:rsidRPr="00E4319D" w:rsidRDefault="00E4319D" w:rsidP="00E4319D">
            <w:pPr>
              <w:autoSpaceDE/>
              <w:autoSpaceDN w:val="0"/>
              <w:snapToGrid w:val="0"/>
              <w:ind w:left="36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15</w:t>
            </w:r>
          </w:p>
        </w:tc>
      </w:tr>
      <w:tr w:rsidR="00E4319D" w:rsidRPr="00E4319D" w14:paraId="2BD70C07" w14:textId="77777777" w:rsidTr="00371B02">
        <w:trPr>
          <w:cantSplit/>
          <w:trHeight w:val="557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B95A" w14:textId="77777777" w:rsidR="00E4319D" w:rsidRPr="00E4319D" w:rsidRDefault="00E4319D" w:rsidP="00E43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9AE5" w14:textId="77777777" w:rsidR="00E4319D" w:rsidRPr="00E4319D" w:rsidRDefault="00E4319D" w:rsidP="00E4319D">
            <w:pPr>
              <w:autoSpaceDE/>
              <w:autoSpaceDN w:val="0"/>
              <w:ind w:left="3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Przygotowanie do egzaminu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1DEF" w14:textId="77777777" w:rsidR="00E4319D" w:rsidRPr="00E4319D" w:rsidRDefault="00E4319D" w:rsidP="00E4319D">
            <w:pPr>
              <w:autoSpaceDE/>
              <w:autoSpaceDN w:val="0"/>
              <w:snapToGrid w:val="0"/>
              <w:ind w:left="36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15</w:t>
            </w:r>
          </w:p>
        </w:tc>
      </w:tr>
      <w:tr w:rsidR="00E4319D" w:rsidRPr="00E4319D" w14:paraId="0E2A52A9" w14:textId="77777777" w:rsidTr="00371B02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36D7" w14:textId="77777777" w:rsidR="00E4319D" w:rsidRPr="00E4319D" w:rsidRDefault="00E4319D" w:rsidP="00E4319D">
            <w:pPr>
              <w:autoSpaceDE/>
              <w:autoSpaceDN w:val="0"/>
              <w:ind w:left="3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CF31" w14:textId="77777777" w:rsidR="00E4319D" w:rsidRPr="00E4319D" w:rsidRDefault="00E4319D" w:rsidP="00E4319D">
            <w:pPr>
              <w:autoSpaceDE/>
              <w:autoSpaceDN w:val="0"/>
              <w:snapToGrid w:val="0"/>
              <w:ind w:left="36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90</w:t>
            </w:r>
          </w:p>
        </w:tc>
      </w:tr>
      <w:tr w:rsidR="00E4319D" w:rsidRPr="00E4319D" w14:paraId="47422224" w14:textId="77777777" w:rsidTr="00371B02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D84B" w14:textId="77777777" w:rsidR="00E4319D" w:rsidRPr="00E4319D" w:rsidRDefault="00E4319D" w:rsidP="00E4319D">
            <w:pPr>
              <w:autoSpaceDE/>
              <w:autoSpaceDN w:val="0"/>
              <w:ind w:left="36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5FE2" w14:textId="77777777" w:rsidR="00E4319D" w:rsidRPr="00E4319D" w:rsidRDefault="00E4319D" w:rsidP="00E4319D">
            <w:pPr>
              <w:autoSpaceDE/>
              <w:autoSpaceDN w:val="0"/>
              <w:snapToGrid w:val="0"/>
              <w:ind w:left="360"/>
              <w:jc w:val="both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4319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3</w:t>
            </w:r>
          </w:p>
        </w:tc>
      </w:tr>
    </w:tbl>
    <w:p w14:paraId="4F248C07" w14:textId="77777777" w:rsidR="00E4319D" w:rsidRPr="00E4319D" w:rsidRDefault="00E4319D" w:rsidP="00E4319D">
      <w:pPr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33707408" w14:textId="77777777" w:rsidR="00E4319D" w:rsidRDefault="00E4319D"/>
    <w:sectPr w:rsidR="00E43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rnockPro-Bold">
    <w:charset w:val="00"/>
    <w:family w:val="auto"/>
    <w:pitch w:val="variable"/>
  </w:font>
  <w:font w:name="WarnockPro-Regula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9D"/>
    <w:rsid w:val="00333344"/>
    <w:rsid w:val="00462526"/>
    <w:rsid w:val="00881BDC"/>
    <w:rsid w:val="008A3D1B"/>
    <w:rsid w:val="00AD7491"/>
    <w:rsid w:val="00B556DB"/>
    <w:rsid w:val="00CF3F88"/>
    <w:rsid w:val="00E4319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1510"/>
  <w15:chartTrackingRefBased/>
  <w15:docId w15:val="{70809535-FA98-440F-971F-0F4EB56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1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crownosci.gov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antropia.org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go.pl/" TargetMode="External"/><Relationship Id="rId5" Type="http://schemas.openxmlformats.org/officeDocument/2006/relationships/hyperlink" Target="http://www.stat.gov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pp.eurostat.ec.europa.e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Kawula</dc:creator>
  <cp:keywords/>
  <dc:description/>
  <cp:lastModifiedBy>Anna Kawula</cp:lastModifiedBy>
  <cp:revision>10</cp:revision>
  <dcterms:created xsi:type="dcterms:W3CDTF">2023-02-26T15:58:00Z</dcterms:created>
  <dcterms:modified xsi:type="dcterms:W3CDTF">2024-03-04T16:49:00Z</dcterms:modified>
</cp:coreProperties>
</file>