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(realizowanego w module obligatoryjnym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3">
      <w:pPr>
        <w:widowControl w:val="1"/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SPedagogika (I st., st. stacjonarne, semestr II)</w:t>
      </w:r>
    </w:p>
    <w:p w:rsidR="00000000" w:rsidDel="00000000" w:rsidP="00000000" w:rsidRDefault="00000000" w:rsidRPr="00000000" w14:paraId="00000004">
      <w:pPr>
        <w:widowControl w:val="1"/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programu rozpoczynającego się w roku akademickim 2023/2024</w:t>
      </w:r>
    </w:p>
    <w:p w:rsidR="00000000" w:rsidDel="00000000" w:rsidP="00000000" w:rsidRDefault="00000000" w:rsidRPr="00000000" w14:paraId="00000005">
      <w:pPr>
        <w:keepNext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Diagnostyka pedagogiczna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Pedagogical diagnostics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Koordynator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 hab.Jolanta Mackowicz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509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 Katarzyna Sygulska</w:t>
            </w:r>
          </w:p>
          <w:p w:rsidR="00000000" w:rsidDel="00000000" w:rsidP="00000000" w:rsidRDefault="00000000" w:rsidRPr="00000000" w14:paraId="00000012">
            <w:pPr>
              <w:spacing w:after="57" w:before="57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Punktacja ECTS*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kursu (cele kształcenia)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Zdobycie wiedzy związanej z problematyką diagnozy pedagogicznej, w szczególności rozpoznawania specyficznych i niespecyficznych problemów edukacyjnych, zapoznanie się z procesem i procedurą diagnostyczną. Kształtowanie postaw wrażliwości na problemy edukacyjno-wychowawcze, a także wnikliwości i rzetelności badawczej. Umożliwienie zdobycia wiedzy o formach i metodach pracy diagnostycznej. Przygotowanie studentów do samodzielnego diagnozowania podstawowych środowisk wychowawczych i wybranych zjawisk rozwojowych i społecznych.  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2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Warunki wstępne</w:t>
      </w:r>
    </w:p>
    <w:tbl>
      <w:tblPr>
        <w:tblStyle w:val="Table4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pacing w:after="20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spacing w:after="20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pacing w:after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after="20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spacing w:after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Efekty uczenia się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908"/>
        <w:gridCol w:w="5322"/>
        <w:gridCol w:w="2410"/>
        <w:tblGridChange w:id="0">
          <w:tblGrid>
            <w:gridCol w:w="1908"/>
            <w:gridCol w:w="5322"/>
            <w:gridCol w:w="2410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kierunkowych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59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ind w:left="14" w:hanging="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Zna teoretyczne podstawy diagnozy.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ind w:left="14" w:hanging="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W02. Ma podstawy teoretyczne z zakresu konstruowania i wykorzystania narzędzi diagnostycznych.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W03. Zna założenia organizacyjno-metodyczne wiodących form pracy diagnostycznej oraz podstawy etyczne i prawne związane z diagnozowaniem.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K_W01, K_W04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K_W05, K_W08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K_W08, K_W02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kierunkowych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U01. Posiada umiejętności zauważania i rozpoznawania symptomów zaburzeń rozwoju poznawczego i emocjonalnego i społecznego, rozumie zmienności </w:t>
              <w:br w:type="textWrapping"/>
              <w:t xml:space="preserve">i prawidłowości procesów zachodzących w otoczeniu jednostki.</w:t>
            </w:r>
          </w:p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U02. Umie diagnozować potrzeby edukacyjne, opiekuńcze i społeczne, konstruować i poprawnie stosować narzędzia diagnostyczne.</w:t>
            </w:r>
          </w:p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U03. Potrafi dokonać analizy i interpretacji uzyskanych wyników diagnozy, potrafi zaplanować pracę zespołu wspierającego.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K_U02, K_U04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K_U04, K_U05, K_U08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K_U08, K_U01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939"/>
        <w:gridCol w:w="5291"/>
        <w:gridCol w:w="2410"/>
        <w:tblGridChange w:id="0">
          <w:tblGrid>
            <w:gridCol w:w="1939"/>
            <w:gridCol w:w="5291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 kierunkowych</w:t>
            </w:r>
          </w:p>
        </w:tc>
      </w:tr>
      <w:tr>
        <w:trPr>
          <w:cantSplit w:val="1"/>
          <w:trHeight w:val="168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K01. Ma umiejętność komunikacji interpersonalnej </w:t>
              <w:br w:type="textWrapping"/>
              <w:t xml:space="preserve"> w sytuacjach diagnostycznych. </w:t>
            </w:r>
          </w:p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K02. W postępowaniu pedagogicznym reprezentuje postawy akceptujące i wspierające.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K03. Wykazuje odpowiedzialność za skutki własnego postępowania diagnostycznego.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K_K01, K_K04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K_K02, K_K03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K_K01, K_K02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4.999999999998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3"/>
            <w:gridCol w:w="1227"/>
            <w:gridCol w:w="851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57" w:before="57" w:lineRule="auto"/>
              <w:ind w:left="45" w:right="13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8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 zajęć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6A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(W)</w:t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861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 z wykorzystaniem multimediów, z elementami metod dyskusyjnych. 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grupowe z wykorzystaniem metod aktywizujących (metoda przypadków, gry decyzyjne), metody symulacyjne, metoda projektów, praca z tekstem).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Formy sprawdzania efektów kształcenia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06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961"/>
        <w:tblGridChange w:id="0">
          <w:tblGrid>
            <w:gridCol w:w="926"/>
            <w:gridCol w:w="644"/>
            <w:gridCol w:w="644"/>
            <w:gridCol w:w="643"/>
            <w:gridCol w:w="643"/>
            <w:gridCol w:w="643"/>
            <w:gridCol w:w="643"/>
            <w:gridCol w:w="643"/>
            <w:gridCol w:w="643"/>
            <w:gridCol w:w="552"/>
            <w:gridCol w:w="735"/>
            <w:gridCol w:w="643"/>
            <w:gridCol w:w="643"/>
            <w:gridCol w:w="961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C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D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E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F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1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2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3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4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5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6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10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6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Kryteria oceny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Składowe oceny egzaminacyjnej: </w:t>
            </w:r>
          </w:p>
          <w:p w:rsidR="00000000" w:rsidDel="00000000" w:rsidP="00000000" w:rsidRDefault="00000000" w:rsidRPr="00000000" w14:paraId="00000138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ocena z egzaminu pisemnego – 50%, ocena z opracowanego i zaprezentowanego przygotowanego projektu grupowego dotyczącego diagnozy wybranego zjawiska z opracowaniem przebiegu diagnozy i propozycją narzędzi diagnostycznych – 50%; szczegółowe kryteria ocen z egzaminu i projektu - zgodnie z kluczem zamieszczonym w arkuszu egzaminacyjnym i arkuszu konstrukcji projektu.</w:t>
            </w:r>
          </w:p>
        </w:tc>
      </w:tr>
    </w:tbl>
    <w:p w:rsidR="00000000" w:rsidDel="00000000" w:rsidP="00000000" w:rsidRDefault="00000000" w:rsidRPr="00000000" w14:paraId="000001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A">
            <w:pPr>
              <w:spacing w:after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Treści merytoryczne </w:t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8568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40"/>
        <w:gridCol w:w="8928"/>
        <w:tblGridChange w:id="0">
          <w:tblGrid>
            <w:gridCol w:w="9640"/>
            <w:gridCol w:w="8928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1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Wykłady:</w:t>
            </w:r>
          </w:p>
          <w:p w:rsidR="00000000" w:rsidDel="00000000" w:rsidP="00000000" w:rsidRDefault="00000000" w:rsidRPr="00000000" w14:paraId="00000141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Teoretyczne podstawy diagnozy (cele diagnozy, pojęcie i aspekty diagnozy rozwiniętej), rodzaje i wymiary diagnozy pedagogicznej, procedura postępowania diagnostycznego. </w:t>
            </w:r>
          </w:p>
          <w:p w:rsidR="00000000" w:rsidDel="00000000" w:rsidP="00000000" w:rsidRDefault="00000000" w:rsidRPr="00000000" w14:paraId="00000142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Modele diagnozy kompleksowej. </w:t>
            </w:r>
          </w:p>
          <w:p w:rsidR="00000000" w:rsidDel="00000000" w:rsidP="00000000" w:rsidRDefault="00000000" w:rsidRPr="00000000" w14:paraId="00000143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Relacje miedzy diagnozą pedagogiczną a innymi rodzajami diagnoz specjalistycznych.</w:t>
            </w:r>
          </w:p>
          <w:p w:rsidR="00000000" w:rsidDel="00000000" w:rsidP="00000000" w:rsidRDefault="00000000" w:rsidRPr="00000000" w14:paraId="00000144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Etyczne i prawne aspekty diagnozy.</w:t>
            </w:r>
          </w:p>
          <w:p w:rsidR="00000000" w:rsidDel="00000000" w:rsidP="00000000" w:rsidRDefault="00000000" w:rsidRPr="00000000" w14:paraId="00000145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Kompetencje komunikacyjne i metodologiczne diagnosty. Warunki skutecznego działania.</w:t>
            </w:r>
          </w:p>
          <w:p w:rsidR="00000000" w:rsidDel="00000000" w:rsidP="00000000" w:rsidRDefault="00000000" w:rsidRPr="00000000" w14:paraId="00000146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Błędy w diagnozie oraz inne czynniki zakłócające proces diagnozy. </w:t>
            </w:r>
          </w:p>
          <w:p w:rsidR="00000000" w:rsidDel="00000000" w:rsidP="00000000" w:rsidRDefault="00000000" w:rsidRPr="00000000" w14:paraId="00000147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Dobór strategii diagnostycznej, prognozowanie w diagnostyce i projektowanie działań postdiagnostycznych.  </w:t>
            </w:r>
          </w:p>
          <w:p w:rsidR="00000000" w:rsidDel="00000000" w:rsidP="00000000" w:rsidRDefault="00000000" w:rsidRPr="00000000" w14:paraId="00000148">
            <w:pPr>
              <w:widowControl w:val="1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Ćwiczenia:</w:t>
            </w:r>
          </w:p>
          <w:p w:rsidR="00000000" w:rsidDel="00000000" w:rsidP="00000000" w:rsidRDefault="00000000" w:rsidRPr="00000000" w14:paraId="00000149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Założenia organizacyjno-metodyczne wybranych form działania diagnostycznego w rozpoznawaniu środowisk wychowawczych. Metody, techniki i narzędzia stosowane w diagnozowaniu jednostki, grupy i środowiska. </w:t>
            </w:r>
          </w:p>
          <w:p w:rsidR="00000000" w:rsidDel="00000000" w:rsidP="00000000" w:rsidRDefault="00000000" w:rsidRPr="00000000" w14:paraId="0000014A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Diagnoza: wybranych dysfunkcji rozwojowych i zagrożeń uczniów oraz elementy projektowania działań postdiagnostycznych; 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iagnostyka rodziny w kryzysie; problematyka diagnozy zjawiska przemocy wobec kobiet, dzieci i osób starszych;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uzależnienia (m.in. alkoholizm, narkomania); patologiczne użytkowanie Internetu; ryzykownych zachowań seksualnych (m.in. prostytucja, ciąże nieletnich); molestowanie i wykorzystywanie seksualne; zaburzenia w postrzeganiu siebie (m.in. anoreksja, bulimia).</w:t>
            </w:r>
          </w:p>
          <w:p w:rsidR="00000000" w:rsidDel="00000000" w:rsidP="00000000" w:rsidRDefault="00000000" w:rsidRPr="00000000" w14:paraId="0000014B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Prezentacja projektów i prowadzenie dyskusji.</w:t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000000" w:space="0" w:sz="0" w:val="nil"/>
              <w:right w:color="95b3d7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podstawowej</w:t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Jarosz E.,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Wybrane obszary diagnozowania pedagogicznego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Katowice 2001.</w:t>
            </w:r>
          </w:p>
          <w:p w:rsidR="00000000" w:rsidDel="00000000" w:rsidP="00000000" w:rsidRDefault="00000000" w:rsidRPr="00000000" w14:paraId="00000151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Jarosz E., Wysocka E.,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Diagnoza psychopedagogiczna. Podstawowe problemy i rozwiązania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Warszawa 2006.</w:t>
            </w:r>
          </w:p>
          <w:p w:rsidR="00000000" w:rsidDel="00000000" w:rsidP="00000000" w:rsidRDefault="00000000" w:rsidRPr="00000000" w14:paraId="00000152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Kawula S.,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Diagnostyka pedagogiczna środowiska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[w:] Pilch T. (red.)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Encyklopedia pedagogiczna XXI wieku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t. 1 Wydawnictwo Żak, Warszawa 2003.</w:t>
            </w:r>
          </w:p>
          <w:p w:rsidR="00000000" w:rsidDel="00000000" w:rsidP="00000000" w:rsidRDefault="00000000" w:rsidRPr="00000000" w14:paraId="00000153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Lisowska E.,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Wprowadzenie do diagnozowania pedagogicznego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Wydawnictwo Wszechnicy Świętokrzyskiej, Kielce 2003.</w:t>
            </w:r>
          </w:p>
          <w:p w:rsidR="00000000" w:rsidDel="00000000" w:rsidP="00000000" w:rsidRDefault="00000000" w:rsidRPr="00000000" w14:paraId="00000154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Skałbania B.,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Diagnostyka pedagogiczna. Wybrane obszary badawcze i rozwiązania praktyczne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Wydawnictwo Impuls, Kraków 2011.</w:t>
            </w:r>
          </w:p>
          <w:p w:rsidR="00000000" w:rsidDel="00000000" w:rsidP="00000000" w:rsidRDefault="00000000" w:rsidRPr="00000000" w14:paraId="00000155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Wysocka E.,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Diagnostyka pedagogiczna. Nowe obszary i rozwiązania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Wydawnictwo Impuls, Kraków 2013.</w:t>
            </w:r>
          </w:p>
        </w:tc>
      </w:tr>
    </w:tbl>
    <w:p w:rsidR="00000000" w:rsidDel="00000000" w:rsidP="00000000" w:rsidRDefault="00000000" w:rsidRPr="00000000" w14:paraId="0000015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480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 familiar face. Violence in the lives of children and adolescents, UNICEF, 2017, 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https://www.unicef.org/publications/files/Violence_in_the_lives_of_children_and_adolescents.pdf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Badura-Madej W. (red.), Wybrane zagadnienia interwencji kryzysowej. Poradnik dla pracowników socjalnych, Katowice 1999.</w:t>
            </w:r>
          </w:p>
          <w:p w:rsidR="00000000" w:rsidDel="00000000" w:rsidP="00000000" w:rsidRDefault="00000000" w:rsidRPr="00000000" w14:paraId="0000015D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Sygulska K., Czas dojrzewania jako czas chaosu wartości – czyli jak zrozumieć młodzież, ,,Hejnał Oświatowy”, nr 2(140)/2015</w:t>
            </w:r>
          </w:p>
          <w:p w:rsidR="00000000" w:rsidDel="00000000" w:rsidP="00000000" w:rsidRDefault="00000000" w:rsidRPr="00000000" w14:paraId="0000015E">
            <w:pPr>
              <w:spacing w:line="276" w:lineRule="auto"/>
              <w:ind w:right="5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Kawula S., 1999, Diagnoza społeczna, [w:] Elementarne pojęcia pedagogiki społecznej i pracy socjalnej, pod red. D. Lalak i T. Pilcha, Warszawa.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ind w:right="5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Palka S., 2005, Diagnozowanie w działalności dydaktyczno – wychowawczej nauczycieli, [w:] Edukacja jutra, (red.) F. Bereźnicki, K. Denek, Szczecin.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ind w:right="5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Radochoński M., 2001, Podstawy psychopatologii dla pedagogów, Rzeszów.</w:t>
            </w:r>
          </w:p>
          <w:p w:rsidR="00000000" w:rsidDel="00000000" w:rsidP="00000000" w:rsidRDefault="00000000" w:rsidRPr="00000000" w14:paraId="00000161">
            <w:pPr>
              <w:widowControl w:val="1"/>
              <w:spacing w:line="276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06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694"/>
        <w:gridCol w:w="5537"/>
        <w:gridCol w:w="1375"/>
        <w:tblGridChange w:id="0">
          <w:tblGrid>
            <w:gridCol w:w="2694"/>
            <w:gridCol w:w="5537"/>
            <w:gridCol w:w="1375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w kontakcie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pracy studenta bez kontaktu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17365d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do egzaminu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17365d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D">
            <w:pPr>
              <w:widowControl w:val="1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punktów ECTS w zależności od przyjętego przelicznika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F55A0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cef.org/publications/files/Violence_in_the_lives_of_children_and_adolescent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XWkCo1wXW5nAkEdlbyD7F3Xxw==">CgMxLjAyCGguZ2pkZ3hzOAByITFISnZZWHYxX09TZExwRk14cDNua3V3a3RCVVJYRTRDYQ==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2024-03-21T20:50:00Z</dcterms:created>
  <dc:creator>Joanna Wnęk-Gozdek</dc:creator>
</cp:coreProperties>
</file>