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widowControl w:val="0"/>
        <w:spacing w:after="0" w:line="240" w:lineRule="auto"/>
        <w:jc w:val="left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KARTA 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2124" w:firstLine="707.999999999999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(realizowanego w module specjalnościowym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Resocjalizacja i Profilaktyka Społeczna I st., stacjonarne, VI semestr 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do programu rozpoczynającego się w roku akademickim 2021/2022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57" w:before="57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Nazwa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60" w:before="6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Animacja kultury z dydaktyką organizacji czasu wolnego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Nazwa w j. ang.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60" w:before="6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Cultural animation with didactics of leisure activities organization</w:t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87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Koordynator</w:t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 Anna Kawula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Zespół dydaktyczny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 Anna Kawula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Mgr Jacek Milczanowski</w:t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Punktacja ECTS*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1"/>
        <w:widowControl w:val="0"/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Opis kursu (cele kształcenia)</w:t>
      </w:r>
    </w:p>
    <w:tbl>
      <w:tblPr>
        <w:tblStyle w:val="Table3"/>
        <w:tblW w:w="9132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132"/>
        <w:tblGridChange w:id="0">
          <w:tblGrid>
            <w:gridCol w:w="9132"/>
          </w:tblGrid>
        </w:tblGridChange>
      </w:tblGrid>
      <w:tr>
        <w:trPr>
          <w:cantSplit w:val="0"/>
          <w:trHeight w:val="120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Zapoznanie z podstawowymi pojęciami i ustaleniami terminologicznymi działalności animacyjnej i jej pedagogicznym oraz dydaktycznym kontekstem, dostarczenie wiedzy o uwarunkowaniach i ewolucji animacji kulturalnej, przygotowanie studenta do organizowania czasu wolnego dla młodzieży, zapoznanie studentów z animacją jako formą oddziaływań dydaktycznych oraz wychowawczych realizowaną w instytucjach kultury dla dzieci i młodzieży oraz ludzi dorosłych w społeczności lokalnej.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Efekty uczenia się</w:t>
      </w:r>
    </w:p>
    <w:tbl>
      <w:tblPr>
        <w:tblStyle w:val="Table4"/>
        <w:tblW w:w="9132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1865"/>
        <w:gridCol w:w="4949"/>
        <w:gridCol w:w="2318"/>
        <w:tblGridChange w:id="0">
          <w:tblGrid>
            <w:gridCol w:w="1865"/>
            <w:gridCol w:w="4949"/>
            <w:gridCol w:w="2318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dla specjalności 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(określonych w karcie programu studiów dla modułu specjalnościowego)</w:t>
            </w:r>
          </w:p>
        </w:tc>
      </w:tr>
      <w:tr>
        <w:trPr>
          <w:cantSplit w:val="1"/>
          <w:trHeight w:val="2294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W01 – ma uporządkowaną wiedzę dotyczącą podstawowych pojęć z zakresu animacji kultury i dydaktyki czasu wolnego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W02 – potrafi scharakteryzować fazy i etapy animacji jednostek, grup, instytucji, środowiska lokalnego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W03 – ma pogłębioną wiedzę dotyczącą procesu animacji kultury w aspekcie  dydaktycznym, wychowawczym i edukacyjnym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W02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W04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W05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1"/>
          <w:trHeight w:val="939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dla specjalności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(określonych w karcie programu studiów dla modułu specjalność)</w:t>
            </w:r>
          </w:p>
        </w:tc>
      </w:tr>
      <w:tr>
        <w:trPr>
          <w:cantSplit w:val="1"/>
          <w:trHeight w:val="2116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57" w:before="57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U01 - nabycie umiejętności postrzegania  problemów dotyczących kulturalnej rzeczywistości i wykorzystanie tych umiejętności w działalności animacyjnej i dydaktycznej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57" w:before="57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U02 – posiada umiejętność diagnozowania potrzeb kulturalnych wobec zagrożeń cywilizacyjnych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U03 -  posiada umiejętność projektowania działalności kulturalnej oraz czasu wolnego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U02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U03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U04 </w:t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32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1906"/>
        <w:gridCol w:w="4877"/>
        <w:gridCol w:w="2349"/>
        <w:tblGridChange w:id="0">
          <w:tblGrid>
            <w:gridCol w:w="1906"/>
            <w:gridCol w:w="4877"/>
            <w:gridCol w:w="2349"/>
          </w:tblGrid>
        </w:tblGridChange>
      </w:tblGrid>
      <w:tr>
        <w:trPr>
          <w:cantSplit w:val="1"/>
          <w:trHeight w:val="80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Kompetencje społeczne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 dla specjalności (określonych w karcie programu studiów dla modułu specjalnościowego)</w:t>
            </w:r>
          </w:p>
        </w:tc>
      </w:tr>
      <w:tr>
        <w:trPr>
          <w:cantSplit w:val="1"/>
          <w:trHeight w:val="1984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K01 – ma przekonanie o sensie, wartości i potrzebie podejmowania działań na rzecz  animacji kultury i czasu wolnego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K02 – odznacza się odpowiedzialnością za własne przygotowanie do komunikowania się i współpracy w środowiskach instytucjonalnych i pozainstytucjonalnych zajmujących się animacją kultury i czasu wolnego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K03 – gotowość współdziałania i poszukiwania sojuszników do realizacji programów animacji kulturowej i czasu wolnego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K03 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K02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K03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4.999999999998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  <w:tblGridChange w:id="0">
          <w:tblGrid>
            <w:gridCol w:w="1613"/>
            <w:gridCol w:w="1227"/>
            <w:gridCol w:w="851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284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14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57" w:before="57" w:line="240" w:lineRule="auto"/>
              <w:ind w:left="45" w:right="13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Organizacja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Forma zajęć</w:t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(W)</w:t>
            </w:r>
          </w:p>
        </w:tc>
        <w:tc>
          <w:tcPr>
            <w:gridSpan w:val="1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Ćwiczenia w grupach</w:t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Liczba godzin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Opis metod prowadzenia zajęć</w:t>
      </w:r>
    </w:p>
    <w:p w:rsidR="00000000" w:rsidDel="00000000" w:rsidP="00000000" w:rsidRDefault="00000000" w:rsidRPr="00000000" w14:paraId="0000009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32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132"/>
        <w:tblGridChange w:id="0">
          <w:tblGrid>
            <w:gridCol w:w="9132"/>
          </w:tblGrid>
        </w:tblGridChange>
      </w:tblGrid>
      <w:tr>
        <w:trPr>
          <w:cantSplit w:val="0"/>
          <w:trHeight w:val="6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Wykład konwersatoryjny, metoda projektów indywidualnych i grupowych, techniki dyskusyjne, prezentacje multimedialne, wycieczka tematyczna</w:t>
            </w:r>
          </w:p>
        </w:tc>
      </w:tr>
    </w:tbl>
    <w:p w:rsidR="00000000" w:rsidDel="00000000" w:rsidP="00000000" w:rsidRDefault="00000000" w:rsidRPr="00000000" w14:paraId="0000009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Formy sprawdzania efektów uczenia się</w:t>
      </w:r>
    </w:p>
    <w:tbl>
      <w:tblPr>
        <w:tblStyle w:val="Table9"/>
        <w:tblW w:w="9059.999999999998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899"/>
        <w:gridCol w:w="627"/>
        <w:gridCol w:w="627"/>
        <w:gridCol w:w="627"/>
        <w:gridCol w:w="628"/>
        <w:gridCol w:w="628"/>
        <w:gridCol w:w="628"/>
        <w:gridCol w:w="628"/>
        <w:gridCol w:w="628"/>
        <w:gridCol w:w="544"/>
        <w:gridCol w:w="91"/>
        <w:gridCol w:w="621"/>
        <w:gridCol w:w="628"/>
        <w:gridCol w:w="628"/>
        <w:gridCol w:w="628"/>
        <w:tblGridChange w:id="0">
          <w:tblGrid>
            <w:gridCol w:w="899"/>
            <w:gridCol w:w="627"/>
            <w:gridCol w:w="627"/>
            <w:gridCol w:w="627"/>
            <w:gridCol w:w="628"/>
            <w:gridCol w:w="628"/>
            <w:gridCol w:w="628"/>
            <w:gridCol w:w="628"/>
            <w:gridCol w:w="628"/>
            <w:gridCol w:w="544"/>
            <w:gridCol w:w="91"/>
            <w:gridCol w:w="621"/>
            <w:gridCol w:w="628"/>
            <w:gridCol w:w="628"/>
            <w:gridCol w:w="628"/>
          </w:tblGrid>
        </w:tblGridChange>
      </w:tblGrid>
      <w:tr>
        <w:trPr>
          <w:cantSplit w:val="1"/>
          <w:trHeight w:val="161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 – learning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Gry dydaktyczne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Ćwiczenia w szkole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Zajęcia terenowe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Praca laboratoryjna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Projekt indywidualny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Projekt grupowy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Udział w dyskusji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Referat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Praca pisemna (esej)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Egzamin ustny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Egzamin pisemny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Inne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W03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U03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K03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114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after="57" w:before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Kryteria oceny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widowControl w:val="0"/>
              <w:spacing w:after="57" w:before="57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projekt indywidualny oraz projekt grupowy oceniany jest wg systemu 0 – 1 (wypracowany projekt stanowi własność autorską studentów), udział w dyskusji (wymagane jest 4-krotne zabranie głosu) udział w ćwiczeniach terenowych (zaliczane wg systemu 0 – 1)</w:t>
            </w:r>
          </w:p>
        </w:tc>
      </w:tr>
    </w:tbl>
    <w:p w:rsidR="00000000" w:rsidDel="00000000" w:rsidP="00000000" w:rsidRDefault="00000000" w:rsidRPr="00000000" w14:paraId="0000013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57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Uwagi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after="57" w:before="57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Treści merytoryczne</w:t>
      </w:r>
    </w:p>
    <w:tbl>
      <w:tblPr>
        <w:tblStyle w:val="Table12"/>
        <w:tblW w:w="9132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132"/>
        <w:tblGridChange w:id="0">
          <w:tblGrid>
            <w:gridCol w:w="9132"/>
          </w:tblGrid>
        </w:tblGridChange>
      </w:tblGrid>
      <w:tr>
        <w:trPr>
          <w:cantSplit w:val="0"/>
          <w:trHeight w:val="113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Wykłady:</w:t>
            </w:r>
          </w:p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etymologia i ustalenia terminologiczne dotyczące podstawowych pojęć </w:t>
            </w:r>
          </w:p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animacja kulturalna – zasady i poziomy, paradygmaty działalności animacyjnej</w:t>
            </w:r>
          </w:p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istota i koncepcja animacji kultury</w:t>
            </w:r>
          </w:p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zagadnienia organizacji czasu wolnego</w:t>
            </w:r>
          </w:p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fazy i etapy animacji jednostek, grup, instytucji, środowiska lokalnego</w:t>
            </w:r>
          </w:p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przemiany kultury współczesnej</w:t>
            </w:r>
          </w:p>
          <w:p w:rsidR="00000000" w:rsidDel="00000000" w:rsidP="00000000" w:rsidRDefault="00000000" w:rsidRPr="00000000" w14:paraId="0000014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wychowawcze funkcje twórczości i odtwórczości artystycznej</w:t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współczesne wyzwania edukacyjne wobec koncepcji animacji kultury i czasu wolnego</w:t>
            </w:r>
          </w:p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Ćwiczenia:</w:t>
            </w:r>
          </w:p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instytucjonalne i pozainstytucjonalne organizowanie działań animacyjnych i czasu wolnego w kontekście zagrożeń uzależnieniami</w:t>
            </w:r>
          </w:p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dydaktyka animacji i czasu wolnego</w:t>
            </w:r>
          </w:p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rodzaje form animacji i klasyfikacja</w:t>
            </w:r>
          </w:p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proces animacji kultury w aspekcie wychowawczym i edukacyjnym</w:t>
            </w:r>
          </w:p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osobowość animatora kultury,  dydaktyka i wychowawcy młodzieży </w:t>
            </w:r>
          </w:p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projektowanie działalności animacyjnej i czasu wolnego</w:t>
            </w:r>
          </w:p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zasady konstruowania projektu związanego z animacją czasu wolnego</w:t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doskonaleni komunikacji interpersonalnej w kontekście pracy ze środowiskiem lokalnym</w:t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Wykaz literatury podstawowej</w:t>
      </w:r>
    </w:p>
    <w:tbl>
      <w:tblPr>
        <w:tblStyle w:val="Table13"/>
        <w:tblW w:w="9132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132"/>
        <w:tblGridChange w:id="0">
          <w:tblGrid>
            <w:gridCol w:w="9132"/>
          </w:tblGrid>
        </w:tblGridChange>
      </w:tblGrid>
      <w:tr>
        <w:trPr>
          <w:cantSplit w:val="0"/>
          <w:trHeight w:val="109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Pięta J., Pedagogika czasu wolnego, Warszawa 2014</w:t>
            </w:r>
          </w:p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Kubinowski D., Lewartowicz U., (red.) Animacja kultury. Współczesne dyskursy teorii i praktyki, Lublin 2013</w:t>
            </w:r>
          </w:p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Kargul J., Upowszechnianie, animacja, komercjalizacja kultury, Warszawa 2012 </w:t>
            </w:r>
          </w:p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Truszkowska-Wojtkowiak M., Fenomen czasu wolnego. Gdańsk 2012</w:t>
            </w:r>
          </w:p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Horobowski A., Potoczny J., Edukacja i animacja społeczno-kulturowa, 2009</w:t>
            </w:r>
          </w:p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Żebrowski J.,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Animacja kulturalna i społeczno-wychowawcza w środowiskach lokalnych,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Gdańsk 2003</w:t>
            </w:r>
          </w:p>
        </w:tc>
      </w:tr>
    </w:tbl>
    <w:p w:rsidR="00000000" w:rsidDel="00000000" w:rsidP="00000000" w:rsidRDefault="00000000" w:rsidRPr="00000000" w14:paraId="0000015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Wykaz literatury uzupełniającej</w:t>
      </w:r>
    </w:p>
    <w:p w:rsidR="00000000" w:rsidDel="00000000" w:rsidP="00000000" w:rsidRDefault="00000000" w:rsidRPr="00000000" w14:paraId="0000015C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132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132"/>
        <w:tblGridChange w:id="0">
          <w:tblGrid>
            <w:gridCol w:w="9132"/>
          </w:tblGrid>
        </w:tblGridChange>
      </w:tblGrid>
      <w:tr>
        <w:trPr>
          <w:cantSplit w:val="0"/>
          <w:trHeight w:val="109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Bączek J., Animacja czasu wolnego. Praktyczny podręcznik dla animatorów. Warszawa 2012</w:t>
            </w:r>
          </w:p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Bobrowski K., Czas wolny a zachowania ryzykowne młodzieży.” Alkohol i Narkomania”2007,nr 3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Cyboran B.,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</w:t>
              </w:r>
            </w:hyperlink>
            <w:r w:rsidDel="00000000" w:rsidR="00000000" w:rsidRPr="00000000">
              <w:fldChar w:fldCharType="begin"/>
              <w:instrText xml:space="preserve"> HYPERLINK "https://ruj.uj.edu.pl/xmlui/bitstream/handle/item/270692/%20cyboran_animacja_w_systemie_zaleznosci_2018.pdf?sequence=1&amp;isAllowed=y" </w:instrText>
              <w:fldChar w:fldCharType="separate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nimacja w systemie zależności instytucjonalnych, Wydawnictwo UJ, Kraków 2018</w:t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Hrycyk K.,(red.) Konteksty animacji społeczno-kulturalnej, Wrocław 2006</w:t>
            </w:r>
          </w:p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Gajda J., W. Żardecki,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Dylematy animacji kulturalnej,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Lublin 2001,</w:t>
            </w:r>
          </w:p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Inkubator kultury. Poradnik Animatora Kultury., Lublin 2012</w:t>
            </w:r>
          </w:p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Jedlewska, B.,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Animatorzy kultury wobec wyzwań edukacyjnych,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Lublin 1999</w:t>
            </w:r>
          </w:p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Kopczyńska M.,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Animacja społeczno-kulturalna,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Warszawa 1993.</w:t>
            </w:r>
          </w:p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Podwysocka J,, Animator czasu wolnego. Kraków 2012</w:t>
            </w:r>
          </w:p>
        </w:tc>
      </w:tr>
    </w:tbl>
    <w:p w:rsidR="00000000" w:rsidDel="00000000" w:rsidP="00000000" w:rsidRDefault="00000000" w:rsidRPr="00000000" w14:paraId="0000016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 w14:paraId="0000016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60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2640"/>
        <w:gridCol w:w="5380"/>
        <w:gridCol w:w="1040"/>
        <w:tblGridChange w:id="0">
          <w:tblGrid>
            <w:gridCol w:w="2640"/>
            <w:gridCol w:w="5380"/>
            <w:gridCol w:w="1040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Ilość godzin w kontakcie z prowadzącymi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Wykład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Audytorium (ćwiczenia, laboratorium itd.)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Konwersatorium (ćwiczenia, laboratorium itd.)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Ilość godzin pracy studenta bez kontaktu z prowadzącymi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Lektura w ramach przygotowania do zajęć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projektu lub prezentacji na podany temat (praca w grupie)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17365d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do egzaminu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17365d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Ogółem bilans czasu pracy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Ilość punktów ECTS w zależności od przyjętego przelicznika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after="0" w:line="240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85">
      <w:pPr>
        <w:spacing w:after="0" w:line="240" w:lineRule="auto"/>
        <w:rPr>
          <w:rFonts w:ascii="Arial" w:cs="Arial" w:eastAsia="Arial" w:hAnsi="Arial"/>
          <w:sz w:val="20"/>
          <w:szCs w:val="20"/>
        </w:rPr>
        <w:sectPr>
          <w:pgSz w:h="16837" w:w="11905" w:orient="portrait"/>
          <w:pgMar w:bottom="1134" w:top="1134" w:left="1701" w:right="1134" w:header="454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sectPr>
      <w:type w:val="nextPage"/>
      <w:pgSz w:h="16837" w:w="11905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1B2E6A"/>
    <w:pPr>
      <w:spacing w:line="256" w:lineRule="auto"/>
    </w:pPr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j.uj.edu.pl/xmlui/bitstream/handle/item/270692/%20cyboran_animacja_w_systemie_zaleznosci_2018.pdf?sequence=1&amp;isAllowed=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9xjoGI/SsPwDr8ubAybvYH/vw==">CgMxLjA4AHIhMUlfVVNGQUl1aGo5ZUJrYUZqek5wNnBRa1NqcWR0M1U0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2024-02-25T22:05:00Z</dcterms:created>
  <dc:creator>Anna Kawula</dc:creator>
</cp:coreProperties>
</file>