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(realizowanego w module obligatoryjnym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ab/>
        <w:t xml:space="preserve">Pedagogika (II st., st. niestacjonarne, semestr II)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 xml:space="preserve">do programu rozpoczynającego się w roku akademickim 2023/2024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8.0" w:type="dxa"/>
        <w:jc w:val="left"/>
        <w:tblInd w:w="28.0" w:type="dxa"/>
        <w:tblLayout w:type="fixed"/>
        <w:tblLook w:val="0400"/>
      </w:tblPr>
      <w:tblGrid>
        <w:gridCol w:w="1883"/>
        <w:gridCol w:w="7155"/>
        <w:tblGridChange w:id="0">
          <w:tblGrid>
            <w:gridCol w:w="1883"/>
            <w:gridCol w:w="71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Andragogika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Adult education; Adult learning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2.0" w:type="dxa"/>
        <w:jc w:val="left"/>
        <w:tblInd w:w="54.0" w:type="dxa"/>
        <w:tblLayout w:type="fixed"/>
        <w:tblLook w:val="0400"/>
      </w:tblPr>
      <w:tblGrid>
        <w:gridCol w:w="2988"/>
        <w:gridCol w:w="2970"/>
        <w:gridCol w:w="3054"/>
        <w:tblGridChange w:id="0">
          <w:tblGrid>
            <w:gridCol w:w="2988"/>
            <w:gridCol w:w="2970"/>
            <w:gridCol w:w="3054"/>
          </w:tblGrid>
        </w:tblGridChange>
      </w:tblGrid>
      <w:tr>
        <w:trPr>
          <w:cantSplit w:val="1"/>
          <w:trHeight w:val="1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Koordynator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 Katarzyna Sygulska</w:t>
            </w:r>
          </w:p>
          <w:p w:rsidR="00000000" w:rsidDel="00000000" w:rsidP="00000000" w:rsidRDefault="00000000" w:rsidRPr="00000000" w14:paraId="0000000F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Zespół dydaktyczny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 Agnieszka Domagała-Kręcioch</w:t>
            </w:r>
          </w:p>
          <w:p w:rsidR="00000000" w:rsidDel="00000000" w:rsidP="00000000" w:rsidRDefault="00000000" w:rsidRPr="00000000" w14:paraId="00000014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 Katarzyna Sygulska</w:t>
            </w:r>
          </w:p>
          <w:p w:rsidR="00000000" w:rsidDel="00000000" w:rsidP="00000000" w:rsidRDefault="00000000" w:rsidRPr="00000000" w14:paraId="00000015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 Anna Kawula</w:t>
            </w:r>
          </w:p>
          <w:p w:rsidR="00000000" w:rsidDel="00000000" w:rsidP="00000000" w:rsidRDefault="00000000" w:rsidRPr="00000000" w14:paraId="00000016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 Joanna Wnęk-Gozdek</w:t>
            </w:r>
          </w:p>
          <w:p w:rsidR="00000000" w:rsidDel="00000000" w:rsidP="00000000" w:rsidRDefault="00000000" w:rsidRPr="00000000" w14:paraId="00000017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Punktacja ECTS*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Opis kursu (cele kształcenia)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92.0" w:type="dxa"/>
        <w:jc w:val="left"/>
        <w:tblInd w:w="70.0" w:type="dxa"/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Umożliwienie zdobycia: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Wiedzy o warunkach, formach, celach, treściach i metodach aktywności edukacyjnej, kulturalnej i wolnoczasowej dorosłych; wiedzy dotyczącej charakterystycznych cech, motywacji potrzeb i postaw wobec edukacji oraz ograniczeń edukacyjnych uczącego się dorosłego. Dostarczenie wiedzy dotyczącej istoty oraz dydaktycznej odrębności procesu kształcenia ludzi dorosłych.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Ukształtowanie umiejętności planowania procesów edukacyjnych osób dorosłych, właściwego planowania zajęć w ramach form organizacyjnych procesu kształcenia, dokształcania i doskonalenia oraz upowszechniania wiedzy i kultury.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Uwrażliwienie na doniosłość idei edukacji dorosłych w warunkach społeczeństwa opartego na wiedzy. Przygotowanie do samodzielnej aktywności edukacyjnej i zarządzania swoim rozwojem zawodowym.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Warunki wstępne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2.0" w:type="dxa"/>
        <w:jc w:val="left"/>
        <w:tblInd w:w="54.0" w:type="dxa"/>
        <w:tblLayout w:type="fixed"/>
        <w:tblLook w:val="0400"/>
      </w:tblPr>
      <w:tblGrid>
        <w:gridCol w:w="1886"/>
        <w:gridCol w:w="7126"/>
        <w:tblGridChange w:id="0">
          <w:tblGrid>
            <w:gridCol w:w="1886"/>
            <w:gridCol w:w="7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Brak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Kursy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Brak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Efekty uczenia się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92.0" w:type="dxa"/>
        <w:jc w:val="left"/>
        <w:tblInd w:w="70.0" w:type="dxa"/>
        <w:tblLayout w:type="fixed"/>
        <w:tblLook w:val="0400"/>
      </w:tblPr>
      <w:tblGrid>
        <w:gridCol w:w="1845"/>
        <w:gridCol w:w="4899"/>
        <w:gridCol w:w="2248"/>
        <w:tblGridChange w:id="0">
          <w:tblGrid>
            <w:gridCol w:w="1845"/>
            <w:gridCol w:w="4899"/>
            <w:gridCol w:w="22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ind w:left="356" w:hanging="35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W01,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Charakteryzuje cele edukacji dorosłych; właściwie interpretuje jej funkcje</w:t>
            </w:r>
          </w:p>
          <w:p w:rsidR="00000000" w:rsidDel="00000000" w:rsidP="00000000" w:rsidRDefault="00000000" w:rsidRPr="00000000" w14:paraId="0000003A">
            <w:pPr>
              <w:ind w:left="356" w:hanging="35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W02, Zna i rozumie istotę i złożoność procesów edukacyjnych z udziałem dorosłych</w:t>
            </w:r>
          </w:p>
          <w:p w:rsidR="00000000" w:rsidDel="00000000" w:rsidP="00000000" w:rsidRDefault="00000000" w:rsidRPr="00000000" w14:paraId="0000003B">
            <w:pPr>
              <w:ind w:left="356" w:hanging="35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W03, Rozumie wpływ doświadczeń historycznych oświaty dorosłych na współczesne trendy andragogiki</w:t>
            </w:r>
          </w:p>
          <w:p w:rsidR="00000000" w:rsidDel="00000000" w:rsidP="00000000" w:rsidRDefault="00000000" w:rsidRPr="00000000" w14:paraId="0000003C">
            <w:pPr>
              <w:ind w:left="361" w:hanging="36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W04, Charakteryzuje założenia organizacyjno-metodyczne wiodących form procesu uczenia się i uczestnictwa w kulturze osób dorosłych.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K_W01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K_W07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K_W02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K_W04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K_W05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92.0" w:type="dxa"/>
        <w:jc w:val="left"/>
        <w:tblInd w:w="70.0" w:type="dxa"/>
        <w:tblLayout w:type="fixed"/>
        <w:tblLook w:val="0400"/>
      </w:tblPr>
      <w:tblGrid>
        <w:gridCol w:w="1885"/>
        <w:gridCol w:w="4850"/>
        <w:gridCol w:w="2257"/>
        <w:tblGridChange w:id="0">
          <w:tblGrid>
            <w:gridCol w:w="1885"/>
            <w:gridCol w:w="4850"/>
            <w:gridCol w:w="225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ind w:left="356" w:hanging="35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U01, Ma świadomość odmienności roli ucznia dorosłego, rozumie prawidłowości i regulatory procesów edukacyjnych</w:t>
            </w:r>
          </w:p>
          <w:p w:rsidR="00000000" w:rsidDel="00000000" w:rsidP="00000000" w:rsidRDefault="00000000" w:rsidRPr="00000000" w14:paraId="0000004A">
            <w:pPr>
              <w:ind w:left="356" w:hanging="35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U02, Umie diagnozować potrzeby edukacyjne, rozwijać pożądaną motywację i kreować zainteresowania uczących się dorosłych</w:t>
            </w:r>
          </w:p>
          <w:p w:rsidR="00000000" w:rsidDel="00000000" w:rsidP="00000000" w:rsidRDefault="00000000" w:rsidRPr="00000000" w14:paraId="0000004B">
            <w:pPr>
              <w:ind w:left="355" w:hanging="425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U03, Umie organizować konkretne formy oświatowe, adekwatnie do oczekiwań, zainteresowań i potrzeb oświatowych potencjalnych odbiorców, dobierać treści, metody i środki dydaktyczne, potrafi zaplanować pracę zespołu samokształceniowego.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K_U02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K_U04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K_U07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92.0" w:type="dxa"/>
        <w:jc w:val="left"/>
        <w:tblInd w:w="70.0" w:type="dxa"/>
        <w:tblLayout w:type="fixed"/>
        <w:tblLook w:val="0400"/>
      </w:tblPr>
      <w:tblGrid>
        <w:gridCol w:w="1897"/>
        <w:gridCol w:w="4822"/>
        <w:gridCol w:w="2273"/>
        <w:tblGridChange w:id="0">
          <w:tblGrid>
            <w:gridCol w:w="1897"/>
            <w:gridCol w:w="4822"/>
            <w:gridCol w:w="227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ind w:left="356" w:hanging="35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K01, Jest przekonany o możliwości optymalizowania własnego rozwoju i czynności zawodowych poprzez ciągłe uczestnictwo w różnorodnych formach edukacji dorosłych</w:t>
            </w:r>
          </w:p>
          <w:p w:rsidR="00000000" w:rsidDel="00000000" w:rsidP="00000000" w:rsidRDefault="00000000" w:rsidRPr="00000000" w14:paraId="00000056">
            <w:pPr>
              <w:ind w:left="356" w:hanging="35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K02, Reprezentuje postawy sprzyjające kreowaniu i wspieraniu procesów (formalnej, pozaformalnej i nieformalnej) edukacji dorosłych zachodzących w instytucjach i placówkach oświatowych oraz środowisku lokalnym</w:t>
            </w:r>
          </w:p>
          <w:p w:rsidR="00000000" w:rsidDel="00000000" w:rsidP="00000000" w:rsidRDefault="00000000" w:rsidRPr="00000000" w14:paraId="00000057">
            <w:pPr>
              <w:ind w:left="355" w:hanging="28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K03, Jest przekonany o potrzebie i możliwościach edukacyjnych człowieka w wieku dojrzałym i starszym.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K_K01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K_K03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K_K05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38.0" w:type="dxa"/>
        <w:jc w:val="left"/>
        <w:tblInd w:w="28.0" w:type="dxa"/>
        <w:tblLayout w:type="fixed"/>
        <w:tblLook w:val="0400"/>
      </w:tblPr>
      <w:tblGrid>
        <w:gridCol w:w="1526"/>
        <w:gridCol w:w="1180"/>
        <w:gridCol w:w="794"/>
        <w:gridCol w:w="254"/>
        <w:gridCol w:w="802"/>
        <w:gridCol w:w="292"/>
        <w:gridCol w:w="761"/>
        <w:gridCol w:w="264"/>
        <w:gridCol w:w="791"/>
        <w:gridCol w:w="264"/>
        <w:gridCol w:w="791"/>
        <w:gridCol w:w="264"/>
        <w:gridCol w:w="791"/>
        <w:gridCol w:w="264"/>
        <w:tblGridChange w:id="0">
          <w:tblGrid>
            <w:gridCol w:w="1526"/>
            <w:gridCol w:w="1180"/>
            <w:gridCol w:w="794"/>
            <w:gridCol w:w="254"/>
            <w:gridCol w:w="802"/>
            <w:gridCol w:w="292"/>
            <w:gridCol w:w="761"/>
            <w:gridCol w:w="264"/>
            <w:gridCol w:w="791"/>
            <w:gridCol w:w="264"/>
            <w:gridCol w:w="791"/>
            <w:gridCol w:w="264"/>
            <w:gridCol w:w="791"/>
            <w:gridCol w:w="264"/>
          </w:tblGrid>
        </w:tblGridChange>
      </w:tblGrid>
      <w:tr>
        <w:trPr>
          <w:cantSplit w:val="0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57" w:before="57" w:lineRule="auto"/>
              <w:ind w:left="45" w:right="137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Organizacja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Forma zajęć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6E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(W)</w:t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Ćwiczenia w grupach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Liczba godzin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92.0" w:type="dxa"/>
        <w:jc w:val="left"/>
        <w:tblInd w:w="70.0" w:type="dxa"/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Wykład interakcyjny z wykorzystaniem multimediów, wykład konwersatoryjny, praca z tekstem, gry dydaktyczne, dyskusja, projekt grupowy, praca pisemna.</w:t>
            </w:r>
          </w:p>
        </w:tc>
      </w:tr>
    </w:tbl>
    <w:p w:rsidR="00000000" w:rsidDel="00000000" w:rsidP="00000000" w:rsidRDefault="00000000" w:rsidRPr="00000000" w14:paraId="000000A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Formy sprawdzania efektów uczenia się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54.0" w:type="dxa"/>
        <w:jc w:val="left"/>
        <w:tblInd w:w="108.0" w:type="dxa"/>
        <w:tblLayout w:type="fixed"/>
        <w:tblLook w:val="0400"/>
      </w:tblPr>
      <w:tblGrid>
        <w:gridCol w:w="889"/>
        <w:gridCol w:w="621"/>
        <w:gridCol w:w="621"/>
        <w:gridCol w:w="621"/>
        <w:gridCol w:w="620"/>
        <w:gridCol w:w="620"/>
        <w:gridCol w:w="620"/>
        <w:gridCol w:w="620"/>
        <w:gridCol w:w="620"/>
        <w:gridCol w:w="541"/>
        <w:gridCol w:w="701"/>
        <w:gridCol w:w="620"/>
        <w:gridCol w:w="620"/>
        <w:gridCol w:w="620"/>
        <w:tblGridChange w:id="0">
          <w:tblGrid>
            <w:gridCol w:w="889"/>
            <w:gridCol w:w="621"/>
            <w:gridCol w:w="621"/>
            <w:gridCol w:w="621"/>
            <w:gridCol w:w="620"/>
            <w:gridCol w:w="620"/>
            <w:gridCol w:w="620"/>
            <w:gridCol w:w="620"/>
            <w:gridCol w:w="620"/>
            <w:gridCol w:w="541"/>
            <w:gridCol w:w="701"/>
            <w:gridCol w:w="620"/>
            <w:gridCol w:w="620"/>
            <w:gridCol w:w="620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Praca pisemna 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W04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38.0" w:type="dxa"/>
        <w:jc w:val="left"/>
        <w:tblInd w:w="28.0" w:type="dxa"/>
        <w:tblLayout w:type="fixed"/>
        <w:tblLook w:val="0400"/>
      </w:tblPr>
      <w:tblGrid>
        <w:gridCol w:w="1844"/>
        <w:gridCol w:w="7194"/>
        <w:tblGridChange w:id="0">
          <w:tblGrid>
            <w:gridCol w:w="1844"/>
            <w:gridCol w:w="719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57" w:before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Kryteria oceny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Ocena końcowa jest oceną z egzaminu pisemnego, gdzie opanowanie 60% materiału daje ocenę dostateczną. Skala ocen: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60-69% maksymalnej liczby punktów – dostateczny; 70-79% plus dostateczny;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80-89% dobry; 90-95% plus dobry; 96-100% bardzo dobry.</w:t>
            </w:r>
          </w:p>
          <w:p w:rsidR="00000000" w:rsidDel="00000000" w:rsidP="00000000" w:rsidRDefault="00000000" w:rsidRPr="00000000" w14:paraId="0000014D">
            <w:pPr>
              <w:spacing w:after="57" w:before="57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 celu zaliczenia ćwiczeń student przeprowadza zajęcia na podany temat (projekt grupowy – na podstawie konspektu) oraz pisze list do wybranego odbiorcy (tematyka zostanie podana przez prowadzącego).</w:t>
            </w:r>
          </w:p>
        </w:tc>
      </w:tr>
    </w:tbl>
    <w:p w:rsidR="00000000" w:rsidDel="00000000" w:rsidP="00000000" w:rsidRDefault="00000000" w:rsidRPr="00000000" w14:paraId="0000014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38.0" w:type="dxa"/>
        <w:jc w:val="left"/>
        <w:tblInd w:w="28.0" w:type="dxa"/>
        <w:tblLayout w:type="fixed"/>
        <w:tblLook w:val="0400"/>
      </w:tblPr>
      <w:tblGrid>
        <w:gridCol w:w="1837"/>
        <w:gridCol w:w="7201"/>
        <w:tblGridChange w:id="0">
          <w:tblGrid>
            <w:gridCol w:w="1837"/>
            <w:gridCol w:w="72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Uwagi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150">
            <w:pPr>
              <w:spacing w:after="57" w:before="57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Podczas ćwiczeń trenowane są umiejętności metodyczno-organizacyjne przyszłych organizatorów i edukatorów.</w:t>
            </w:r>
          </w:p>
        </w:tc>
      </w:tr>
    </w:tbl>
    <w:p w:rsidR="00000000" w:rsidDel="00000000" w:rsidP="00000000" w:rsidRDefault="00000000" w:rsidRPr="00000000" w14:paraId="0000015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Treści merytoryczne</w:t>
      </w:r>
    </w:p>
    <w:p w:rsidR="00000000" w:rsidDel="00000000" w:rsidP="00000000" w:rsidRDefault="00000000" w:rsidRPr="00000000" w14:paraId="0000015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92.0" w:type="dxa"/>
        <w:jc w:val="left"/>
        <w:tblInd w:w="70.0" w:type="dxa"/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9152.0" w:type="dxa"/>
              <w:jc w:val="left"/>
              <w:tblLayout w:type="fixed"/>
              <w:tblLook w:val="0400"/>
            </w:tblPr>
            <w:tblGrid>
              <w:gridCol w:w="8992"/>
              <w:gridCol w:w="160"/>
              <w:tblGridChange w:id="0">
                <w:tblGrid>
                  <w:gridCol w:w="8992"/>
                  <w:gridCol w:w="1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95b3d7" w:space="0" w:sz="4" w:val="single"/>
                    <w:left w:color="95b3d7" w:space="0" w:sz="4" w:val="single"/>
                    <w:bottom w:color="95b3d7" w:space="0" w:sz="4" w:val="single"/>
                    <w:right w:color="95b3d7" w:space="0" w:sz="4" w:val="single"/>
                  </w:tcBorders>
                  <w:shd w:fill="ffffff" w:val="clear"/>
                  <w:tcMar>
                    <w:left w:w="70.0" w:type="dxa"/>
                    <w:right w:w="70.0" w:type="dxa"/>
                  </w:tcMar>
                </w:tcPr>
                <w:p w:rsidR="00000000" w:rsidDel="00000000" w:rsidP="00000000" w:rsidRDefault="00000000" w:rsidRPr="00000000" w14:paraId="00000156">
                  <w:pPr>
                    <w:tabs>
                      <w:tab w:val="left" w:leader="none" w:pos="426"/>
                    </w:tabs>
                    <w:ind w:left="426" w:firstLine="0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Wykłady</w:t>
                  </w:r>
                </w:p>
                <w:p w:rsidR="00000000" w:rsidDel="00000000" w:rsidP="00000000" w:rsidRDefault="00000000" w:rsidRPr="00000000" w14:paraId="00000157">
                  <w:pPr>
                    <w:widowControl w:val="1"/>
                    <w:numPr>
                      <w:ilvl w:val="0"/>
                      <w:numId w:val="1"/>
                    </w:numPr>
                    <w:tabs>
                      <w:tab w:val="left" w:leader="none" w:pos="426"/>
                    </w:tabs>
                    <w:spacing w:line="276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Andragogika w systemie nauk o wychowaniu. Podstawowe pojęcia, geneza, przedmiot, teren badań, związki z innymi naukami. Prekursorzy i przedstawiciele. </w:t>
                  </w:r>
                </w:p>
                <w:p w:rsidR="00000000" w:rsidDel="00000000" w:rsidP="00000000" w:rsidRDefault="00000000" w:rsidRPr="00000000" w14:paraId="00000158">
                  <w:pPr>
                    <w:widowControl w:val="1"/>
                    <w:numPr>
                      <w:ilvl w:val="0"/>
                      <w:numId w:val="1"/>
                    </w:numPr>
                    <w:spacing w:line="276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Etyka zawodowa andragoga</w:t>
                  </w:r>
                </w:p>
                <w:p w:rsidR="00000000" w:rsidDel="00000000" w:rsidP="00000000" w:rsidRDefault="00000000" w:rsidRPr="00000000" w14:paraId="00000159">
                  <w:pPr>
                    <w:widowControl w:val="1"/>
                    <w:numPr>
                      <w:ilvl w:val="0"/>
                      <w:numId w:val="1"/>
                    </w:numPr>
                    <w:spacing w:line="276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Dorosłość jako kategoria andragogiczna. Różnice pokoleniowe X,Y,Z, Role społeczne </w:t>
                  </w:r>
                </w:p>
                <w:p w:rsidR="00000000" w:rsidDel="00000000" w:rsidP="00000000" w:rsidRDefault="00000000" w:rsidRPr="00000000" w14:paraId="0000015A">
                  <w:pPr>
                    <w:widowControl w:val="1"/>
                    <w:numPr>
                      <w:ilvl w:val="0"/>
                      <w:numId w:val="1"/>
                    </w:numPr>
                    <w:spacing w:line="276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Uczący się dorosły. Potrzeby, motywacje, bariery edukacyjne, style zarądzania. </w:t>
                  </w:r>
                </w:p>
                <w:p w:rsidR="00000000" w:rsidDel="00000000" w:rsidP="00000000" w:rsidRDefault="00000000" w:rsidRPr="00000000" w14:paraId="0000015B">
                  <w:pPr>
                    <w:widowControl w:val="1"/>
                    <w:numPr>
                      <w:ilvl w:val="0"/>
                      <w:numId w:val="1"/>
                    </w:numPr>
                    <w:spacing w:line="276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Tradycja i nowoczesność w kształceniu dorosłych. Główne nurty i wiodące formy organizacyjne oświaty dorosłych </w:t>
                  </w:r>
                </w:p>
                <w:p w:rsidR="00000000" w:rsidDel="00000000" w:rsidP="00000000" w:rsidRDefault="00000000" w:rsidRPr="00000000" w14:paraId="0000015C">
                  <w:pPr>
                    <w:widowControl w:val="1"/>
                    <w:numPr>
                      <w:ilvl w:val="0"/>
                      <w:numId w:val="1"/>
                    </w:numPr>
                    <w:spacing w:line="276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Edukacja dorosłych w ponowoczesnym świecie. Wskaźniki charakteryzujące aktywność edukacyjną dorosłych Polaków </w:t>
                  </w:r>
                </w:p>
                <w:p w:rsidR="00000000" w:rsidDel="00000000" w:rsidP="00000000" w:rsidRDefault="00000000" w:rsidRPr="00000000" w14:paraId="0000015D">
                  <w:pPr>
                    <w:widowControl w:val="1"/>
                    <w:numPr>
                      <w:ilvl w:val="0"/>
                      <w:numId w:val="1"/>
                    </w:numPr>
                    <w:tabs>
                      <w:tab w:val="left" w:leader="none" w:pos="426"/>
                    </w:tabs>
                    <w:spacing w:line="276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Edukacja dorosłych jako szansa i narzędzie wzmocnienia kapitału intelektualnego (społecznego i ludzkiego) jednostek, grup i środowisk lokalnych. Jej cele i funkcje osobowe oraz społeczne </w:t>
                  </w:r>
                </w:p>
                <w:p w:rsidR="00000000" w:rsidDel="00000000" w:rsidP="00000000" w:rsidRDefault="00000000" w:rsidRPr="00000000" w14:paraId="0000015E">
                  <w:pPr>
                    <w:ind w:left="426" w:firstLine="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F">
                  <w:pPr>
                    <w:ind w:left="426" w:firstLine="0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Ćwiczenia</w:t>
                  </w:r>
                </w:p>
                <w:p w:rsidR="00000000" w:rsidDel="00000000" w:rsidP="00000000" w:rsidRDefault="00000000" w:rsidRPr="00000000" w14:paraId="00000160">
                  <w:pPr>
                    <w:ind w:left="426" w:firstLine="0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1">
                  <w:pPr>
                    <w:widowControl w:val="1"/>
                    <w:numPr>
                      <w:ilvl w:val="0"/>
                      <w:numId w:val="2"/>
                    </w:numPr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Zadania rozwojowe dorosłości. Zmiany okresu dorosłości.</w:t>
                  </w:r>
                </w:p>
                <w:p w:rsidR="00000000" w:rsidDel="00000000" w:rsidP="00000000" w:rsidRDefault="00000000" w:rsidRPr="00000000" w14:paraId="00000162">
                  <w:pPr>
                    <w:widowControl w:val="1"/>
                    <w:numPr>
                      <w:ilvl w:val="0"/>
                      <w:numId w:val="2"/>
                    </w:numPr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Zasady nauczania i uczenia się dorosłych.</w:t>
                  </w:r>
                </w:p>
                <w:p w:rsidR="00000000" w:rsidDel="00000000" w:rsidP="00000000" w:rsidRDefault="00000000" w:rsidRPr="00000000" w14:paraId="00000163">
                  <w:pPr>
                    <w:widowControl w:val="1"/>
                    <w:numPr>
                      <w:ilvl w:val="0"/>
                      <w:numId w:val="2"/>
                    </w:numPr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Edukacja formalna, pozaformalna i nieformalna – wybrane przykłady.</w:t>
                  </w:r>
                </w:p>
                <w:p w:rsidR="00000000" w:rsidDel="00000000" w:rsidP="00000000" w:rsidRDefault="00000000" w:rsidRPr="00000000" w14:paraId="00000164">
                  <w:pPr>
                    <w:widowControl w:val="1"/>
                    <w:numPr>
                      <w:ilvl w:val="0"/>
                      <w:numId w:val="2"/>
                    </w:numPr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Kryzysy osób dorosłych.</w:t>
                  </w:r>
                </w:p>
                <w:p w:rsidR="00000000" w:rsidDel="00000000" w:rsidP="00000000" w:rsidRDefault="00000000" w:rsidRPr="00000000" w14:paraId="00000165">
                  <w:pPr>
                    <w:widowControl w:val="1"/>
                    <w:numPr>
                      <w:ilvl w:val="0"/>
                      <w:numId w:val="2"/>
                    </w:numPr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Uczenie się z biografii.</w:t>
                  </w:r>
                </w:p>
                <w:p w:rsidR="00000000" w:rsidDel="00000000" w:rsidP="00000000" w:rsidRDefault="00000000" w:rsidRPr="00000000" w14:paraId="00000166">
                  <w:pPr>
                    <w:widowControl w:val="1"/>
                    <w:numPr>
                      <w:ilvl w:val="0"/>
                      <w:numId w:val="2"/>
                    </w:numPr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Różne formy edukacji dorosłych – warsztaty przygotowane przez studentów.</w:t>
                  </w:r>
                </w:p>
                <w:p w:rsidR="00000000" w:rsidDel="00000000" w:rsidP="00000000" w:rsidRDefault="00000000" w:rsidRPr="00000000" w14:paraId="00000167">
                  <w:pPr>
                    <w:widowControl w:val="1"/>
                    <w:numPr>
                      <w:ilvl w:val="0"/>
                      <w:numId w:val="2"/>
                    </w:numPr>
                    <w:ind w:left="720" w:hanging="36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Udział w bezpłatnych szkoleniach oferowanych przez różne podmioty w celu poszerzenia własnych kompetencji i zdobycia wiedzy na temat form kształcenia osób dorosłych.</w:t>
                  </w:r>
                </w:p>
                <w:p w:rsidR="00000000" w:rsidDel="00000000" w:rsidP="00000000" w:rsidRDefault="00000000" w:rsidRPr="00000000" w14:paraId="00000168">
                  <w:pPr>
                    <w:widowControl w:val="1"/>
                    <w:ind w:left="720" w:firstLine="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5b3d7" w:space="0" w:sz="4" w:val="single"/>
                    <w:left w:color="95b3d7" w:space="0" w:sz="4" w:val="single"/>
                    <w:bottom w:color="95b3d7" w:space="0" w:sz="4" w:val="single"/>
                    <w:right w:color="95b3d7" w:space="0" w:sz="4" w:val="single"/>
                  </w:tcBorders>
                  <w:shd w:fill="ffffff" w:val="clear"/>
                  <w:tcMar>
                    <w:left w:w="70.0" w:type="dxa"/>
                    <w:right w:w="70.0" w:type="dxa"/>
                  </w:tcMar>
                </w:tcPr>
                <w:p w:rsidR="00000000" w:rsidDel="00000000" w:rsidP="00000000" w:rsidRDefault="00000000" w:rsidRPr="00000000" w14:paraId="00000169">
                  <w:pPr>
                    <w:tabs>
                      <w:tab w:val="left" w:leader="none" w:pos="284"/>
                    </w:tabs>
                    <w:ind w:left="360" w:firstLine="0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Wykaz literatury podstawowej</w:t>
      </w:r>
    </w:p>
    <w:p w:rsidR="00000000" w:rsidDel="00000000" w:rsidP="00000000" w:rsidRDefault="00000000" w:rsidRPr="00000000" w14:paraId="0000016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992.0" w:type="dxa"/>
        <w:jc w:val="left"/>
        <w:tblInd w:w="70.0" w:type="dxa"/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6E">
            <w:pPr>
              <w:ind w:left="216" w:hanging="284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Aleksander T.,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Andragogika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Kraków-Radom 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ind w:left="216" w:hanging="284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Knowles M., Holton E.F., Swanson R.,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Edukacja dorosłych, podręcznik akademicki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Warszawa 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216" w:hanging="284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Matlakiewicz A., Solarczyk-Szwec H.,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Dorośli uczą się inaczej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Toruń 2009</w:t>
            </w:r>
          </w:p>
          <w:p w:rsidR="00000000" w:rsidDel="00000000" w:rsidP="00000000" w:rsidRDefault="00000000" w:rsidRPr="00000000" w14:paraId="00000171">
            <w:pPr>
              <w:ind w:left="216" w:hanging="284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Platforma epale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https://epale.ec.europa.eu/pl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7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992.0" w:type="dxa"/>
        <w:jc w:val="left"/>
        <w:tblInd w:w="70.0" w:type="dxa"/>
        <w:tblLayout w:type="fixed"/>
        <w:tblLook w:val="0400"/>
      </w:tblPr>
      <w:tblGrid>
        <w:gridCol w:w="8992"/>
        <w:tblGridChange w:id="0">
          <w:tblGrid>
            <w:gridCol w:w="8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75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Seria wydawnicza: Biblioteka Edukacji Dorosłych (spis na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00"/>
                  <w:sz w:val="20"/>
                  <w:szCs w:val="20"/>
                  <w:u w:val="single"/>
                  <w:rtl w:val="0"/>
                </w:rPr>
                <w:t xml:space="preserve">www.ata.edu.pl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76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Brzezińska A. I., Appelt K. , Ziółkowska B.,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Psychologia rozwoju człowieka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Sopot 2015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709"/>
              </w:tabs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Czerniawska O.,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Szkice z andragogiki i gerontologii,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Łódź 2007</w:t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709"/>
              </w:tabs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Delors J. i współpr.,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Edukacja, jest w niej ukryty skarb, Raport dla UNESCO Międzynarodowej Komisji do spraw Edukacji dla XXI wieku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Warszawa 1998, tłum. W. Rabczuk</w:t>
            </w:r>
          </w:p>
          <w:p w:rsidR="00000000" w:rsidDel="00000000" w:rsidP="00000000" w:rsidRDefault="00000000" w:rsidRPr="00000000" w14:paraId="00000179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Edukacja dorosłych jako czynnik rozwoju społecznego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T. Aleksander (red.), Tom I i II, Radom 2010</w:t>
            </w:r>
          </w:p>
          <w:p w:rsidR="00000000" w:rsidDel="00000000" w:rsidP="00000000" w:rsidRDefault="00000000" w:rsidRPr="00000000" w14:paraId="0000017A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Fornosa M. (red.) The University of the Third Age and Active Ageing : European and Asian-Pacific Perspectives, Springer2019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709"/>
              </w:tabs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Kargul J.,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Obszary pozaformalnej i nieformalnej edukacji dorosłych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Wrocław 2001</w:t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709"/>
              </w:tabs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Medeiros de K.,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Narrative gerontology: introducing the field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“Exlibirs Biblioteka Gerontologii Społecznej - Polish Social Gerontology Journal”, no 1(13)2017,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00"/>
                  <w:sz w:val="20"/>
                  <w:szCs w:val="20"/>
                  <w:u w:val="single"/>
                  <w:rtl w:val="0"/>
                </w:rPr>
                <w:t xml:space="preserve">http://www.bgs.up.krakow.pl/wp-content/uploads/2015/05/BGS-131nowe.pdf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Oleś P.,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Psychologia człowieka dorosłego Ciągłość – zmiana - integracja,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Warszawa 2012</w:t>
            </w:r>
          </w:p>
          <w:p w:rsidR="00000000" w:rsidDel="00000000" w:rsidP="00000000" w:rsidRDefault="00000000" w:rsidRPr="00000000" w14:paraId="0000017E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Sygulska K.,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Uniwersytet trzeciego wieku jako instytucja aktywizująca osoby starsze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publikacja cyfrowa,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00"/>
                  <w:sz w:val="20"/>
                  <w:szCs w:val="20"/>
                  <w:u w:val="single"/>
                  <w:rtl w:val="0"/>
                </w:rPr>
                <w:t xml:space="preserve">www.bioannales.up.krakow.pl/?page_id=215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Stan i perspektywy rozwoju refleksji nad edukacją dorosłych,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T. Aleksander, D. Barwińska (red.), Kraków 2007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Rule="auto"/>
              <w:ind w:left="72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Stochmiałek J.,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Kryzysy życiowe osób dorosłych. Refleksje andragogiczne i edukacyjne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Warszawa 2015</w:t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Tomczyk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Ł. (2019).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Flipped learning, digital storytelling as the new solutions in adult education and school pedagogy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[w:] Jaroslav Veteška (ed.).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Adult Education 2018 – Transformation in the Era of Digitization and Artificial Intelligence. Česká andragogická společnost/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Czech Andragogy Society, Praha (współautorzy: Solomon Sunday Oyelere, Angel Puentes, Gloria Sanchez-Castillo, Darwin Muñoz, Burcu Simsek, Ozgur Yaşar Akyar, Giyasettin Demirhan).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ind w:left="72" w:hanging="142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Wnęk-Gozdek, J., Włoch, A., &amp; Tomczyk, Ł. (2022). Komunikat z badań realizowanych w ramach międzynarodowego projektu badawczego DANUBE.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Edukacja Dorosłych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86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(1), 119-123.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Rule="auto"/>
              <w:ind w:left="72" w:hanging="142"/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WNĘK-Gzodek J.(2019). Nabywanie kompetencji interpersonalnych przez kategorie NEETs.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How to work with NEETs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, 107.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Rule="auto"/>
              <w:ind w:left="72" w:hanging="142"/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Rule="auto"/>
              <w:ind w:left="72" w:hanging="142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Czasopisma:</w:t>
            </w:r>
          </w:p>
          <w:p w:rsidR="00000000" w:rsidDel="00000000" w:rsidP="00000000" w:rsidRDefault="00000000" w:rsidRPr="00000000" w14:paraId="00000186">
            <w:pPr>
              <w:spacing w:after="0" w:lineRule="auto"/>
              <w:ind w:left="74" w:hanging="14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„Edukacja Dorosłych”; „Edukacja Ustawiczna Dorosłych”; „Rocznik Andragogiczny”; „e-mentor” wyłącznie dział Edukacja ustawiczna</w:t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709"/>
              </w:tabs>
              <w:spacing w:after="0" w:lineRule="auto"/>
              <w:ind w:left="72" w:hanging="142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Źródła internetowe</w:t>
            </w:r>
          </w:p>
          <w:p w:rsidR="00000000" w:rsidDel="00000000" w:rsidP="00000000" w:rsidRDefault="00000000" w:rsidRPr="00000000" w14:paraId="00000188">
            <w:pPr>
              <w:ind w:left="358" w:hanging="284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eBibliogaphy Continuing Vocational Education; 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00"/>
                  <w:sz w:val="20"/>
                  <w:szCs w:val="20"/>
                  <w:u w:val="single"/>
                  <w:rtl w:val="0"/>
                </w:rPr>
                <w:t xml:space="preserve">www.pedagogikapracy.pl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8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54.0" w:type="dxa"/>
        <w:jc w:val="left"/>
        <w:tblInd w:w="108.0" w:type="dxa"/>
        <w:tblLayout w:type="fixed"/>
        <w:tblLook w:val="0400"/>
      </w:tblPr>
      <w:tblGrid>
        <w:gridCol w:w="2603"/>
        <w:gridCol w:w="5319"/>
        <w:gridCol w:w="1032"/>
        <w:tblGridChange w:id="0">
          <w:tblGrid>
            <w:gridCol w:w="2603"/>
            <w:gridCol w:w="5319"/>
            <w:gridCol w:w="103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liczba godzin w kontakcie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liczba godzin pracy studenta bez kontaktu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Przygotowanie do egzaminu/zaliczenia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76" w:lineRule="auto"/>
              <w:ind w:left="36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Liczba punktów ECTS w zależności od przyjętego przelicznika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76" w:lineRule="auto"/>
              <w:ind w:left="36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A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B6DB6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 w:val="1"/>
    <w:rsid w:val="00BB6DB6"/>
    <w:pPr>
      <w:keepNext w:val="1"/>
      <w:autoSpaceDE w:val="1"/>
      <w:jc w:val="center"/>
      <w:outlineLvl w:val="0"/>
    </w:pPr>
    <w:rPr>
      <w:rFonts w:ascii="Verdana" w:hAnsi="Verdana"/>
      <w:sz w:val="28"/>
      <w:szCs w:val="28"/>
      <w:lang w:eastAsia="x-none" w:val="x-non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rsid w:val="00BB6DB6"/>
    <w:rPr>
      <w:rFonts w:ascii="Verdana" w:cs="Times New Roman" w:eastAsia="Times New Roman" w:hAnsi="Verdana"/>
      <w:kern w:val="0"/>
      <w:sz w:val="28"/>
      <w:szCs w:val="28"/>
      <w:lang w:eastAsia="x-none" w:val="x-none"/>
    </w:rPr>
  </w:style>
  <w:style w:type="paragraph" w:styleId="Nagwek">
    <w:name w:val="header"/>
    <w:basedOn w:val="Normalny"/>
    <w:next w:val="Tekstpodstawowy"/>
    <w:link w:val="NagwekZnak"/>
    <w:rsid w:val="00BB6DB6"/>
    <w:pPr>
      <w:keepNext w:val="1"/>
      <w:spacing w:after="120" w:before="240"/>
    </w:pPr>
    <w:rPr>
      <w:rFonts w:ascii="Arial" w:hAnsi="Arial"/>
      <w:sz w:val="28"/>
      <w:szCs w:val="28"/>
      <w:lang w:eastAsia="x-none" w:val="x-none"/>
    </w:rPr>
  </w:style>
  <w:style w:type="character" w:styleId="NagwekZnak" w:customStyle="1">
    <w:name w:val="Nagłówek Znak"/>
    <w:basedOn w:val="Domylnaczcionkaakapitu"/>
    <w:link w:val="Nagwek"/>
    <w:rsid w:val="00BB6DB6"/>
    <w:rPr>
      <w:rFonts w:ascii="Arial" w:cs="Times New Roman" w:eastAsia="Times New Roman" w:hAnsi="Arial"/>
      <w:kern w:val="0"/>
      <w:sz w:val="28"/>
      <w:szCs w:val="28"/>
      <w:lang w:eastAsia="x-none" w:val="x-none"/>
    </w:rPr>
  </w:style>
  <w:style w:type="paragraph" w:styleId="Zawartotabeli" w:customStyle="1">
    <w:name w:val="Zawartość tabeli"/>
    <w:basedOn w:val="Normalny"/>
    <w:rsid w:val="00BB6DB6"/>
    <w:pPr>
      <w:suppressLineNumbers w:val="1"/>
    </w:pPr>
  </w:style>
  <w:style w:type="paragraph" w:styleId="Tekstdymka1" w:customStyle="1">
    <w:name w:val="Tekst dymka1"/>
    <w:basedOn w:val="Normalny"/>
    <w:rsid w:val="00BB6DB6"/>
    <w:rPr>
      <w:rFonts w:ascii="Tahoma" w:cs="Tahoma" w:hAnsi="Tahoma"/>
      <w:sz w:val="16"/>
      <w:szCs w:val="16"/>
    </w:rPr>
  </w:style>
  <w:style w:type="paragraph" w:styleId="Zwykytekst">
    <w:name w:val="Plain Text"/>
    <w:aliases w:val=" Znak,Znak"/>
    <w:basedOn w:val="Normalny"/>
    <w:link w:val="ZwykytekstZnak"/>
    <w:rsid w:val="00BB6DB6"/>
    <w:pPr>
      <w:widowControl w:val="1"/>
      <w:suppressAutoHyphens w:val="0"/>
      <w:autoSpaceDE w:val="1"/>
    </w:pPr>
    <w:rPr>
      <w:rFonts w:ascii="Courier New" w:hAnsi="Courier New"/>
      <w:sz w:val="20"/>
      <w:szCs w:val="20"/>
      <w:lang w:eastAsia="x-none" w:val="x-none"/>
    </w:rPr>
  </w:style>
  <w:style w:type="character" w:styleId="ZwykytekstZnak" w:customStyle="1">
    <w:name w:val="Zwykły tekst Znak"/>
    <w:aliases w:val=" Znak Znak,Znak Znak"/>
    <w:basedOn w:val="Domylnaczcionkaakapitu"/>
    <w:link w:val="Zwykytekst"/>
    <w:rsid w:val="00BB6DB6"/>
    <w:rPr>
      <w:rFonts w:ascii="Courier New" w:cs="Times New Roman" w:eastAsia="Times New Roman" w:hAnsi="Courier New"/>
      <w:kern w:val="0"/>
      <w:sz w:val="20"/>
      <w:szCs w:val="20"/>
      <w:lang w:eastAsia="x-none" w:val="x-none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BB6DB6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BB6DB6"/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97184D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9718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97184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pedagogikapracy.pl/" TargetMode="External"/><Relationship Id="rId10" Type="http://schemas.openxmlformats.org/officeDocument/2006/relationships/hyperlink" Target="http://www.bioannales.up.krakow.pl/?page_id=215" TargetMode="External"/><Relationship Id="rId9" Type="http://schemas.openxmlformats.org/officeDocument/2006/relationships/hyperlink" Target="http://www.bgs.up.krakow.pl/wp-content/uploads/2015/05/BGS-131now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pale.ec.europa.eu/pl" TargetMode="External"/><Relationship Id="rId8" Type="http://schemas.openxmlformats.org/officeDocument/2006/relationships/hyperlink" Target="http://www.ata.edu.p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9Cfzu+LYBbSYIV9Q8ApO413Wg==">CgMxLjA4AHIhMUZLakF2STBvUXNnWkNQSmUxMm5JaVlHM1lEOHVZY3ox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2024-03-12T10:51:00Z</dcterms:created>
  <dc:creator>Joanna Wnęk-Gozdek</dc:creator>
</cp:coreProperties>
</file>